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DE" w:rsidRPr="00562C7E" w:rsidRDefault="00E326B9" w:rsidP="00CE7F63">
      <w:pPr>
        <w:spacing w:after="0" w:line="240" w:lineRule="auto"/>
        <w:contextualSpacing/>
        <w:mirrorIndents/>
        <w:jc w:val="center"/>
        <w:rPr>
          <w:rFonts w:cs="Calibri"/>
          <w:b/>
          <w:u w:val="single"/>
        </w:rPr>
      </w:pPr>
      <w:r w:rsidRPr="00562C7E">
        <w:rPr>
          <w:rFonts w:cs="Calibri"/>
          <w:b/>
          <w:u w:val="single"/>
        </w:rPr>
        <w:t>FAQ’S REGARDING AFFILIATION (AFFILIATION, DISAFFILIATION, PROCEDURE, FEE ETC)</w:t>
      </w:r>
    </w:p>
    <w:tbl>
      <w:tblPr>
        <w:tblW w:w="9641" w:type="dxa"/>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2751"/>
        <w:gridCol w:w="1657"/>
        <w:gridCol w:w="2054"/>
        <w:gridCol w:w="2189"/>
      </w:tblGrid>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What is the procedure of affiliation with FBISE?</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rPr>
              <w:t>Ans</w:t>
            </w:r>
          </w:p>
        </w:tc>
        <w:tc>
          <w:tcPr>
            <w:tcW w:w="8651" w:type="dxa"/>
            <w:gridSpan w:val="4"/>
            <w:tcMar>
              <w:top w:w="115" w:type="dxa"/>
              <w:left w:w="115" w:type="dxa"/>
              <w:bottom w:w="115" w:type="dxa"/>
              <w:right w:w="115" w:type="dxa"/>
            </w:tcMar>
          </w:tcPr>
          <w:p w:rsidR="00183BFE" w:rsidRPr="00562C7E" w:rsidRDefault="00A658DE" w:rsidP="00CE7F63">
            <w:pPr>
              <w:spacing w:after="0" w:line="240" w:lineRule="auto"/>
              <w:ind w:left="720" w:hanging="720"/>
              <w:contextualSpacing/>
              <w:mirrorIndents/>
              <w:jc w:val="both"/>
              <w:rPr>
                <w:rFonts w:cs="Calibri"/>
              </w:rPr>
            </w:pPr>
            <w:r w:rsidRPr="00562C7E">
              <w:rPr>
                <w:rFonts w:cs="Calibri"/>
                <w:b/>
              </w:rPr>
              <w:t>Step 1.</w:t>
            </w:r>
            <w:r w:rsidRPr="00562C7E">
              <w:rPr>
                <w:rFonts w:cs="Calibri"/>
              </w:rPr>
              <w:tab/>
              <w:t xml:space="preserve">Getting </w:t>
            </w:r>
            <w:r w:rsidR="00780674" w:rsidRPr="00562C7E">
              <w:rPr>
                <w:rFonts w:cs="Calibri"/>
              </w:rPr>
              <w:t>booklet</w:t>
            </w:r>
            <w:r w:rsidR="00780674">
              <w:rPr>
                <w:rFonts w:cs="Calibri"/>
              </w:rPr>
              <w:t>/</w:t>
            </w:r>
            <w:r w:rsidRPr="00562C7E">
              <w:rPr>
                <w:rFonts w:cs="Calibri"/>
              </w:rPr>
              <w:t>forms</w:t>
            </w:r>
            <w:r w:rsidR="00183BFE" w:rsidRPr="00562C7E">
              <w:rPr>
                <w:rFonts w:cs="Calibri"/>
              </w:rPr>
              <w:t xml:space="preserve"> </w:t>
            </w:r>
            <w:r w:rsidR="001C417C" w:rsidRPr="00562C7E">
              <w:rPr>
                <w:rFonts w:cs="Calibri"/>
              </w:rPr>
              <w:t>(download from website) or</w:t>
            </w:r>
            <w:r w:rsidR="00183BFE" w:rsidRPr="00562C7E">
              <w:rPr>
                <w:rFonts w:cs="Calibri"/>
              </w:rPr>
              <w:t xml:space="preserve"> submitting a request on letter pad </w:t>
            </w:r>
            <w:r w:rsidR="00AB249B" w:rsidRPr="00562C7E">
              <w:rPr>
                <w:rFonts w:cs="Calibri"/>
              </w:rPr>
              <w:t>along with</w:t>
            </w:r>
            <w:r w:rsidR="00183BFE" w:rsidRPr="00562C7E">
              <w:rPr>
                <w:rFonts w:cs="Calibri"/>
              </w:rPr>
              <w:t xml:space="preserve"> payment of Rs 10</w:t>
            </w:r>
            <w:r w:rsidR="00780674">
              <w:rPr>
                <w:rFonts w:cs="Calibri"/>
              </w:rPr>
              <w:t>,</w:t>
            </w:r>
            <w:r w:rsidR="00183BFE" w:rsidRPr="00562C7E">
              <w:rPr>
                <w:rFonts w:cs="Calibri"/>
              </w:rPr>
              <w:t>0</w:t>
            </w:r>
            <w:r w:rsidR="001C417C" w:rsidRPr="00562C7E">
              <w:rPr>
                <w:rFonts w:cs="Calibri"/>
              </w:rPr>
              <w:t>0</w:t>
            </w:r>
            <w:r w:rsidR="00183BFE" w:rsidRPr="00562C7E">
              <w:rPr>
                <w:rFonts w:cs="Calibri"/>
              </w:rPr>
              <w:t xml:space="preserve">0/-via </w:t>
            </w:r>
            <w:r w:rsidR="00780674">
              <w:rPr>
                <w:rFonts w:cs="Calibri"/>
              </w:rPr>
              <w:t xml:space="preserve">online </w:t>
            </w:r>
            <w:r w:rsidR="00183BFE" w:rsidRPr="00562C7E">
              <w:rPr>
                <w:rFonts w:cs="Calibri"/>
              </w:rPr>
              <w:t>bank challan (available on FBISE website)</w:t>
            </w:r>
          </w:p>
          <w:p w:rsidR="00A658DE" w:rsidRPr="00562C7E" w:rsidRDefault="00A658DE" w:rsidP="00CE7F63">
            <w:pPr>
              <w:spacing w:after="0" w:line="240" w:lineRule="auto"/>
              <w:ind w:left="720" w:hanging="720"/>
              <w:contextualSpacing/>
              <w:mirrorIndents/>
              <w:jc w:val="both"/>
              <w:rPr>
                <w:rFonts w:cs="Calibri"/>
              </w:rPr>
            </w:pPr>
            <w:r w:rsidRPr="00562C7E">
              <w:rPr>
                <w:rFonts w:cs="Calibri"/>
                <w:b/>
              </w:rPr>
              <w:t>Step.2.</w:t>
            </w:r>
            <w:r w:rsidRPr="00562C7E">
              <w:rPr>
                <w:rFonts w:cs="Calibri"/>
              </w:rPr>
              <w:tab/>
              <w:t xml:space="preserve">Submission of </w:t>
            </w:r>
            <w:r w:rsidR="00780674">
              <w:rPr>
                <w:rFonts w:cs="Calibri"/>
              </w:rPr>
              <w:t xml:space="preserve">booklet/ </w:t>
            </w:r>
            <w:r w:rsidRPr="00562C7E">
              <w:rPr>
                <w:rFonts w:cs="Calibri"/>
              </w:rPr>
              <w:t xml:space="preserve">forms </w:t>
            </w:r>
            <w:r w:rsidR="00780674">
              <w:rPr>
                <w:rFonts w:cs="Calibri"/>
              </w:rPr>
              <w:t>along</w:t>
            </w:r>
            <w:r w:rsidR="00E8640D">
              <w:rPr>
                <w:rFonts w:cs="Calibri"/>
              </w:rPr>
              <w:t xml:space="preserve"> </w:t>
            </w:r>
            <w:r w:rsidR="00780674">
              <w:rPr>
                <w:rFonts w:cs="Calibri"/>
              </w:rPr>
              <w:t>with</w:t>
            </w:r>
            <w:r w:rsidRPr="00562C7E">
              <w:rPr>
                <w:rFonts w:cs="Calibri"/>
              </w:rPr>
              <w:t xml:space="preserve"> </w:t>
            </w:r>
            <w:r w:rsidR="00183BFE" w:rsidRPr="00562C7E">
              <w:rPr>
                <w:rFonts w:cs="Calibri"/>
              </w:rPr>
              <w:t>required</w:t>
            </w:r>
            <w:r w:rsidRPr="00562C7E">
              <w:rPr>
                <w:rFonts w:cs="Calibri"/>
              </w:rPr>
              <w:t xml:space="preserve"> documents</w:t>
            </w:r>
            <w:r w:rsidR="00183BFE" w:rsidRPr="00562C7E">
              <w:rPr>
                <w:rFonts w:cs="Calibri"/>
              </w:rPr>
              <w:t xml:space="preserve"> mentioned in affiliation booklet</w:t>
            </w:r>
            <w:r w:rsidR="00AB249B" w:rsidRPr="00562C7E">
              <w:rPr>
                <w:rFonts w:cs="Calibri"/>
              </w:rPr>
              <w:t>s</w:t>
            </w:r>
            <w:r w:rsidR="00183BFE" w:rsidRPr="00562C7E">
              <w:rPr>
                <w:rFonts w:cs="Calibri"/>
              </w:rPr>
              <w:t xml:space="preserve"> within </w:t>
            </w:r>
            <w:r w:rsidR="00AB249B" w:rsidRPr="00562C7E">
              <w:rPr>
                <w:rFonts w:cs="Calibri"/>
              </w:rPr>
              <w:t xml:space="preserve">the </w:t>
            </w:r>
            <w:r w:rsidR="00183BFE" w:rsidRPr="00562C7E">
              <w:rPr>
                <w:rFonts w:cs="Calibri"/>
              </w:rPr>
              <w:t>due date</w:t>
            </w:r>
            <w:r w:rsidRPr="00562C7E">
              <w:rPr>
                <w:rFonts w:cs="Calibri"/>
              </w:rPr>
              <w:t>.</w:t>
            </w:r>
          </w:p>
          <w:p w:rsidR="00A658DE" w:rsidRPr="00562C7E" w:rsidRDefault="00A658DE" w:rsidP="00CE7F63">
            <w:pPr>
              <w:spacing w:after="0" w:line="240" w:lineRule="auto"/>
              <w:contextualSpacing/>
              <w:mirrorIndents/>
              <w:jc w:val="both"/>
              <w:rPr>
                <w:rFonts w:cs="Calibri"/>
              </w:rPr>
            </w:pPr>
            <w:r w:rsidRPr="00562C7E">
              <w:rPr>
                <w:rFonts w:cs="Calibri"/>
                <w:b/>
              </w:rPr>
              <w:t>Step 3</w:t>
            </w:r>
            <w:r w:rsidRPr="00562C7E">
              <w:rPr>
                <w:rFonts w:cs="Calibri"/>
              </w:rPr>
              <w:t>.</w:t>
            </w:r>
            <w:r w:rsidRPr="00562C7E">
              <w:rPr>
                <w:rFonts w:cs="Calibri"/>
              </w:rPr>
              <w:tab/>
              <w:t>Conduct of inspection.</w:t>
            </w:r>
          </w:p>
          <w:p w:rsidR="00A658DE" w:rsidRPr="00562C7E" w:rsidRDefault="00183BFE" w:rsidP="00CE7F63">
            <w:pPr>
              <w:spacing w:after="0" w:line="240" w:lineRule="auto"/>
              <w:contextualSpacing/>
              <w:mirrorIndents/>
              <w:jc w:val="both"/>
              <w:rPr>
                <w:rFonts w:cs="Calibri"/>
              </w:rPr>
            </w:pPr>
            <w:r w:rsidRPr="00562C7E">
              <w:rPr>
                <w:rFonts w:cs="Calibri"/>
                <w:b/>
              </w:rPr>
              <w:t>Step 4.</w:t>
            </w:r>
            <w:r w:rsidR="00E326B9" w:rsidRPr="00562C7E">
              <w:rPr>
                <w:rFonts w:cs="Calibri"/>
              </w:rPr>
              <w:t xml:space="preserve">  </w:t>
            </w:r>
            <w:r w:rsidRPr="00562C7E">
              <w:rPr>
                <w:rFonts w:cs="Calibri"/>
              </w:rPr>
              <w:t xml:space="preserve">Submission of security fee </w:t>
            </w:r>
            <w:r w:rsidR="00780674">
              <w:rPr>
                <w:rFonts w:cs="Calibri"/>
              </w:rPr>
              <w:t xml:space="preserve">and </w:t>
            </w:r>
            <w:r w:rsidR="00780674" w:rsidRPr="00562C7E">
              <w:rPr>
                <w:rFonts w:cs="Calibri"/>
              </w:rPr>
              <w:t xml:space="preserve">group fee </w:t>
            </w:r>
            <w:r w:rsidRPr="00562C7E">
              <w:rPr>
                <w:rFonts w:cs="Calibri"/>
              </w:rPr>
              <w:t>when demanded by FBISE.</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 xml:space="preserve">What are the </w:t>
            </w:r>
            <w:r w:rsidR="00AB249B" w:rsidRPr="00562C7E">
              <w:rPr>
                <w:rFonts w:cs="Calibri"/>
                <w:b/>
              </w:rPr>
              <w:t xml:space="preserve">rates of </w:t>
            </w:r>
            <w:r w:rsidRPr="00562C7E">
              <w:rPr>
                <w:rFonts w:cs="Calibri"/>
                <w:b/>
              </w:rPr>
              <w:t>dues for affiliation?</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rPr>
              <w:t>Ans</w:t>
            </w: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rPr>
            </w:pPr>
            <w:r w:rsidRPr="00562C7E">
              <w:rPr>
                <w:rFonts w:cs="Calibri"/>
              </w:rPr>
              <w:t xml:space="preserve">Following are the </w:t>
            </w:r>
            <w:r w:rsidR="00AB249B" w:rsidRPr="00562C7E">
              <w:rPr>
                <w:rFonts w:cs="Calibri"/>
              </w:rPr>
              <w:t xml:space="preserve">rates of </w:t>
            </w:r>
            <w:r w:rsidRPr="00562C7E">
              <w:rPr>
                <w:rFonts w:cs="Calibri"/>
              </w:rPr>
              <w:t>dues:</w:t>
            </w:r>
          </w:p>
        </w:tc>
      </w:tr>
      <w:tr w:rsidR="00A658DE" w:rsidRPr="00562C7E" w:rsidTr="007E5849">
        <w:trPr>
          <w:jc w:val="center"/>
        </w:trPr>
        <w:tc>
          <w:tcPr>
            <w:tcW w:w="990" w:type="dxa"/>
            <w:tcMar>
              <w:top w:w="115" w:type="dxa"/>
              <w:left w:w="115" w:type="dxa"/>
              <w:bottom w:w="115" w:type="dxa"/>
              <w:right w:w="115" w:type="dxa"/>
            </w:tcMar>
            <w:vAlign w:val="center"/>
          </w:tcPr>
          <w:p w:rsidR="00A658DE" w:rsidRPr="00562C7E" w:rsidRDefault="00A658DE" w:rsidP="00CE7F63">
            <w:pPr>
              <w:spacing w:after="0" w:line="240" w:lineRule="auto"/>
              <w:contextualSpacing/>
              <w:mirrorIndents/>
              <w:jc w:val="center"/>
              <w:rPr>
                <w:rFonts w:cs="Calibri"/>
                <w:b/>
              </w:rPr>
            </w:pPr>
            <w:r w:rsidRPr="00562C7E">
              <w:rPr>
                <w:rFonts w:cs="Calibri"/>
                <w:b/>
              </w:rPr>
              <w:t>S</w:t>
            </w:r>
            <w:r w:rsidR="000845BB" w:rsidRPr="00562C7E">
              <w:rPr>
                <w:rFonts w:cs="Calibri"/>
                <w:b/>
              </w:rPr>
              <w:t xml:space="preserve">r. </w:t>
            </w:r>
            <w:r w:rsidRPr="00562C7E">
              <w:rPr>
                <w:rFonts w:cs="Calibri"/>
                <w:b/>
              </w:rPr>
              <w:t>#</w:t>
            </w:r>
          </w:p>
        </w:tc>
        <w:tc>
          <w:tcPr>
            <w:tcW w:w="2751" w:type="dxa"/>
            <w:tcBorders>
              <w:right w:val="single" w:sz="4" w:space="0" w:color="auto"/>
            </w:tcBorders>
            <w:tcMar>
              <w:top w:w="115" w:type="dxa"/>
              <w:left w:w="115" w:type="dxa"/>
              <w:bottom w:w="115" w:type="dxa"/>
              <w:right w:w="115" w:type="dxa"/>
            </w:tcMar>
            <w:vAlign w:val="center"/>
          </w:tcPr>
          <w:p w:rsidR="00A658DE" w:rsidRPr="00562C7E" w:rsidRDefault="00A658DE" w:rsidP="00CE7F63">
            <w:pPr>
              <w:spacing w:after="0" w:line="240" w:lineRule="auto"/>
              <w:contextualSpacing/>
              <w:mirrorIndents/>
              <w:jc w:val="center"/>
              <w:rPr>
                <w:rFonts w:cs="Calibri"/>
                <w:b/>
              </w:rPr>
            </w:pPr>
            <w:r w:rsidRPr="00562C7E">
              <w:rPr>
                <w:rFonts w:cs="Calibri"/>
                <w:b/>
              </w:rPr>
              <w:t>Fee Detail</w:t>
            </w:r>
          </w:p>
        </w:tc>
        <w:tc>
          <w:tcPr>
            <w:tcW w:w="1657"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b/>
              </w:rPr>
            </w:pPr>
            <w:r w:rsidRPr="00562C7E">
              <w:rPr>
                <w:rFonts w:cs="Calibri"/>
                <w:b/>
              </w:rPr>
              <w:t>F.G</w:t>
            </w:r>
          </w:p>
        </w:tc>
        <w:tc>
          <w:tcPr>
            <w:tcW w:w="2054"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b/>
              </w:rPr>
            </w:pPr>
            <w:r w:rsidRPr="00562C7E">
              <w:rPr>
                <w:rFonts w:cs="Calibri"/>
                <w:b/>
              </w:rPr>
              <w:t>Private</w:t>
            </w:r>
          </w:p>
        </w:tc>
        <w:tc>
          <w:tcPr>
            <w:tcW w:w="2189" w:type="dxa"/>
            <w:tcBorders>
              <w:left w:val="single" w:sz="4" w:space="0" w:color="auto"/>
            </w:tcBorders>
            <w:vAlign w:val="center"/>
          </w:tcPr>
          <w:p w:rsidR="00A658DE" w:rsidRPr="00562C7E" w:rsidRDefault="00A658DE" w:rsidP="00CE7F63">
            <w:pPr>
              <w:spacing w:after="0" w:line="240" w:lineRule="auto"/>
              <w:contextualSpacing/>
              <w:mirrorIndents/>
              <w:jc w:val="center"/>
              <w:rPr>
                <w:rFonts w:cs="Calibri"/>
                <w:b/>
              </w:rPr>
            </w:pPr>
            <w:r w:rsidRPr="00562C7E">
              <w:rPr>
                <w:rFonts w:cs="Calibri"/>
                <w:b/>
              </w:rPr>
              <w:t>Overseas</w:t>
            </w:r>
          </w:p>
        </w:tc>
      </w:tr>
      <w:tr w:rsidR="00A658DE" w:rsidRPr="00562C7E" w:rsidTr="007E5849">
        <w:trPr>
          <w:jc w:val="center"/>
        </w:trPr>
        <w:tc>
          <w:tcPr>
            <w:tcW w:w="990" w:type="dxa"/>
            <w:tcMar>
              <w:top w:w="115" w:type="dxa"/>
              <w:left w:w="115" w:type="dxa"/>
              <w:bottom w:w="115" w:type="dxa"/>
              <w:right w:w="115" w:type="dxa"/>
            </w:tcMar>
            <w:vAlign w:val="center"/>
          </w:tcPr>
          <w:p w:rsidR="00A658DE" w:rsidRPr="00562C7E" w:rsidRDefault="00A658DE"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A658DE" w:rsidRPr="00562C7E" w:rsidRDefault="00A658DE" w:rsidP="00CE7F63">
            <w:pPr>
              <w:spacing w:after="0" w:line="240" w:lineRule="auto"/>
              <w:contextualSpacing/>
              <w:mirrorIndents/>
              <w:rPr>
                <w:rFonts w:cs="Calibri"/>
              </w:rPr>
            </w:pPr>
            <w:r w:rsidRPr="00562C7E">
              <w:rPr>
                <w:rFonts w:cs="Calibri"/>
              </w:rPr>
              <w:t>Booklet</w:t>
            </w:r>
            <w:r w:rsidR="001C417C" w:rsidRPr="00562C7E">
              <w:rPr>
                <w:rFonts w:cs="Calibri"/>
              </w:rPr>
              <w:t xml:space="preserve">/processing </w:t>
            </w:r>
            <w:r w:rsidRPr="00562C7E">
              <w:rPr>
                <w:rFonts w:cs="Calibri"/>
              </w:rPr>
              <w:t>fee</w:t>
            </w:r>
          </w:p>
        </w:tc>
        <w:tc>
          <w:tcPr>
            <w:tcW w:w="1657"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Rs.1000</w:t>
            </w:r>
            <w:r w:rsidR="001C417C" w:rsidRPr="00562C7E">
              <w:rPr>
                <w:rFonts w:cs="Calibri"/>
              </w:rPr>
              <w:t>0</w:t>
            </w:r>
          </w:p>
        </w:tc>
        <w:tc>
          <w:tcPr>
            <w:tcW w:w="2054"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Rs.1000</w:t>
            </w:r>
            <w:r w:rsidR="001C417C" w:rsidRPr="00562C7E">
              <w:rPr>
                <w:rFonts w:cs="Calibri"/>
              </w:rPr>
              <w:t>0</w:t>
            </w:r>
          </w:p>
        </w:tc>
        <w:tc>
          <w:tcPr>
            <w:tcW w:w="2189" w:type="dxa"/>
            <w:tcBorders>
              <w:lef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US $ 10</w:t>
            </w:r>
            <w:r w:rsidR="001C417C" w:rsidRPr="00562C7E">
              <w:rPr>
                <w:rFonts w:cs="Calibri"/>
              </w:rPr>
              <w:t>0</w:t>
            </w:r>
          </w:p>
        </w:tc>
      </w:tr>
      <w:tr w:rsidR="00A658DE" w:rsidRPr="00562C7E" w:rsidTr="007E5849">
        <w:trPr>
          <w:jc w:val="center"/>
        </w:trPr>
        <w:tc>
          <w:tcPr>
            <w:tcW w:w="990" w:type="dxa"/>
            <w:tcMar>
              <w:top w:w="115" w:type="dxa"/>
              <w:left w:w="115" w:type="dxa"/>
              <w:bottom w:w="115" w:type="dxa"/>
              <w:right w:w="115" w:type="dxa"/>
            </w:tcMar>
            <w:vAlign w:val="center"/>
          </w:tcPr>
          <w:p w:rsidR="00A658DE" w:rsidRPr="00562C7E" w:rsidRDefault="00A658DE"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A658DE" w:rsidRPr="00562C7E" w:rsidRDefault="00A658DE" w:rsidP="00CE7F63">
            <w:pPr>
              <w:spacing w:after="0" w:line="240" w:lineRule="auto"/>
              <w:contextualSpacing/>
              <w:mirrorIndents/>
              <w:rPr>
                <w:rFonts w:cs="Calibri"/>
              </w:rPr>
            </w:pPr>
            <w:r w:rsidRPr="00562C7E">
              <w:rPr>
                <w:rFonts w:cs="Calibri"/>
              </w:rPr>
              <w:t>Inspection fee</w:t>
            </w:r>
          </w:p>
        </w:tc>
        <w:tc>
          <w:tcPr>
            <w:tcW w:w="1657" w:type="dxa"/>
            <w:tcBorders>
              <w:left w:val="single" w:sz="4" w:space="0" w:color="auto"/>
              <w:right w:val="single" w:sz="4" w:space="0" w:color="auto"/>
            </w:tcBorders>
            <w:vAlign w:val="center"/>
          </w:tcPr>
          <w:p w:rsidR="00A658DE" w:rsidRPr="00562C7E" w:rsidRDefault="00965038" w:rsidP="00CE7F63">
            <w:pPr>
              <w:spacing w:after="0" w:line="240" w:lineRule="auto"/>
              <w:contextualSpacing/>
              <w:mirrorIndents/>
              <w:jc w:val="center"/>
              <w:rPr>
                <w:rFonts w:cs="Calibri"/>
              </w:rPr>
            </w:pPr>
            <w:r w:rsidRPr="00562C7E">
              <w:rPr>
                <w:rFonts w:cs="Calibri"/>
              </w:rPr>
              <w:t>Rs.15</w:t>
            </w:r>
            <w:r w:rsidR="00A658DE" w:rsidRPr="00562C7E">
              <w:rPr>
                <w:rFonts w:cs="Calibri"/>
              </w:rPr>
              <w:t>,000</w:t>
            </w:r>
          </w:p>
        </w:tc>
        <w:tc>
          <w:tcPr>
            <w:tcW w:w="2054"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Rs.20,000</w:t>
            </w:r>
            <w:r w:rsidR="000845BB" w:rsidRPr="00562C7E">
              <w:rPr>
                <w:rFonts w:cs="Calibri"/>
              </w:rPr>
              <w:t xml:space="preserve"> </w:t>
            </w:r>
            <w:r w:rsidRPr="00562C7E">
              <w:rPr>
                <w:rFonts w:cs="Calibri"/>
              </w:rPr>
              <w:t xml:space="preserve">within Islamabad and </w:t>
            </w:r>
            <w:r w:rsidR="0074355C" w:rsidRPr="00562C7E">
              <w:rPr>
                <w:rFonts w:cs="Calibri"/>
              </w:rPr>
              <w:t>Rawalpindi Div;</w:t>
            </w:r>
          </w:p>
          <w:p w:rsidR="001C417C" w:rsidRPr="00562C7E" w:rsidRDefault="001C417C" w:rsidP="00CE7F63">
            <w:pPr>
              <w:spacing w:after="0" w:line="240" w:lineRule="auto"/>
              <w:contextualSpacing/>
              <w:mirrorIndents/>
              <w:jc w:val="center"/>
              <w:rPr>
                <w:rFonts w:cs="Calibri"/>
              </w:rPr>
            </w:pPr>
          </w:p>
          <w:p w:rsidR="00A658DE" w:rsidRPr="00562C7E" w:rsidRDefault="00A658DE" w:rsidP="00CE7F63">
            <w:pPr>
              <w:spacing w:after="0" w:line="240" w:lineRule="auto"/>
              <w:contextualSpacing/>
              <w:mirrorIndents/>
              <w:jc w:val="center"/>
              <w:rPr>
                <w:rFonts w:cs="Calibri"/>
              </w:rPr>
            </w:pPr>
            <w:r w:rsidRPr="00562C7E">
              <w:rPr>
                <w:rFonts w:cs="Calibri"/>
              </w:rPr>
              <w:t>Rs.40,000 other than Islamabad and Rawalpindi Division institutions</w:t>
            </w:r>
          </w:p>
        </w:tc>
        <w:tc>
          <w:tcPr>
            <w:tcW w:w="2189" w:type="dxa"/>
            <w:tcBorders>
              <w:lef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US $ 1500</w:t>
            </w:r>
          </w:p>
        </w:tc>
      </w:tr>
      <w:tr w:rsidR="00965038" w:rsidRPr="00562C7E" w:rsidTr="007E5849">
        <w:trPr>
          <w:jc w:val="center"/>
        </w:trPr>
        <w:tc>
          <w:tcPr>
            <w:tcW w:w="990" w:type="dxa"/>
            <w:tcMar>
              <w:top w:w="115" w:type="dxa"/>
              <w:left w:w="115" w:type="dxa"/>
              <w:bottom w:w="115" w:type="dxa"/>
              <w:right w:w="115" w:type="dxa"/>
            </w:tcMar>
            <w:vAlign w:val="center"/>
          </w:tcPr>
          <w:p w:rsidR="00965038" w:rsidRPr="00562C7E" w:rsidRDefault="00965038"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965038" w:rsidRPr="00562C7E" w:rsidRDefault="00965038" w:rsidP="00CE7F63">
            <w:pPr>
              <w:spacing w:after="0" w:line="240" w:lineRule="auto"/>
              <w:contextualSpacing/>
              <w:mirrorIndents/>
              <w:rPr>
                <w:rFonts w:cs="Calibri"/>
              </w:rPr>
            </w:pPr>
            <w:r w:rsidRPr="00562C7E">
              <w:rPr>
                <w:rFonts w:cs="Calibri"/>
              </w:rPr>
              <w:t>Re-Inspection fee for Institutions</w:t>
            </w:r>
          </w:p>
        </w:tc>
        <w:tc>
          <w:tcPr>
            <w:tcW w:w="1657" w:type="dxa"/>
            <w:tcBorders>
              <w:left w:val="single" w:sz="4" w:space="0" w:color="auto"/>
              <w:righ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Rs.1</w:t>
            </w:r>
            <w:r w:rsidR="00DB273B" w:rsidRPr="00562C7E">
              <w:rPr>
                <w:rFonts w:cs="Calibri"/>
              </w:rPr>
              <w:t>5</w:t>
            </w:r>
            <w:r w:rsidRPr="00562C7E">
              <w:rPr>
                <w:rFonts w:cs="Calibri"/>
              </w:rPr>
              <w:t>,000</w:t>
            </w:r>
          </w:p>
        </w:tc>
        <w:tc>
          <w:tcPr>
            <w:tcW w:w="2054" w:type="dxa"/>
            <w:tcBorders>
              <w:left w:val="single" w:sz="4" w:space="0" w:color="auto"/>
              <w:righ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Rs.20,000 within Islamabad and Rawalpindi Div</w:t>
            </w:r>
            <w:r w:rsidR="0074355C" w:rsidRPr="00562C7E">
              <w:rPr>
                <w:rFonts w:cs="Calibri"/>
              </w:rPr>
              <w:t>;</w:t>
            </w:r>
          </w:p>
          <w:p w:rsidR="001C417C" w:rsidRPr="00562C7E" w:rsidRDefault="001C417C" w:rsidP="00CE7F63">
            <w:pPr>
              <w:spacing w:after="0" w:line="240" w:lineRule="auto"/>
              <w:contextualSpacing/>
              <w:mirrorIndents/>
              <w:jc w:val="center"/>
              <w:rPr>
                <w:rFonts w:cs="Calibri"/>
              </w:rPr>
            </w:pPr>
          </w:p>
          <w:p w:rsidR="00965038" w:rsidRPr="00562C7E" w:rsidRDefault="00965038" w:rsidP="00CE7F63">
            <w:pPr>
              <w:spacing w:after="0" w:line="240" w:lineRule="auto"/>
              <w:contextualSpacing/>
              <w:mirrorIndents/>
              <w:jc w:val="center"/>
              <w:rPr>
                <w:rFonts w:cs="Calibri"/>
              </w:rPr>
            </w:pPr>
            <w:r w:rsidRPr="00562C7E">
              <w:rPr>
                <w:rFonts w:cs="Calibri"/>
              </w:rPr>
              <w:t>Rs.40,000 other than Islamabad and Rawalpindi Division institutions</w:t>
            </w:r>
          </w:p>
        </w:tc>
        <w:tc>
          <w:tcPr>
            <w:tcW w:w="2189" w:type="dxa"/>
            <w:tcBorders>
              <w:lef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US $ 1500</w:t>
            </w:r>
          </w:p>
        </w:tc>
      </w:tr>
      <w:tr w:rsidR="00965038" w:rsidRPr="00562C7E" w:rsidTr="007E5849">
        <w:trPr>
          <w:jc w:val="center"/>
        </w:trPr>
        <w:tc>
          <w:tcPr>
            <w:tcW w:w="990" w:type="dxa"/>
            <w:tcMar>
              <w:top w:w="115" w:type="dxa"/>
              <w:left w:w="115" w:type="dxa"/>
              <w:bottom w:w="115" w:type="dxa"/>
              <w:right w:w="115" w:type="dxa"/>
            </w:tcMar>
            <w:vAlign w:val="center"/>
          </w:tcPr>
          <w:p w:rsidR="00965038" w:rsidRPr="00562C7E" w:rsidRDefault="00965038"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965038" w:rsidRPr="00562C7E" w:rsidRDefault="00965038" w:rsidP="00CE7F63">
            <w:pPr>
              <w:spacing w:after="0" w:line="240" w:lineRule="auto"/>
              <w:contextualSpacing/>
              <w:mirrorIndents/>
              <w:rPr>
                <w:rFonts w:cs="Calibri"/>
              </w:rPr>
            </w:pPr>
            <w:r w:rsidRPr="00562C7E">
              <w:rPr>
                <w:rFonts w:cs="Calibri"/>
              </w:rPr>
              <w:t>Security fee for Private Institutions at the time of fresh affiliation</w:t>
            </w:r>
          </w:p>
        </w:tc>
        <w:tc>
          <w:tcPr>
            <w:tcW w:w="1657" w:type="dxa"/>
            <w:tcBorders>
              <w:left w:val="single" w:sz="4" w:space="0" w:color="auto"/>
              <w:righ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Nil</w:t>
            </w:r>
          </w:p>
        </w:tc>
        <w:tc>
          <w:tcPr>
            <w:tcW w:w="2054" w:type="dxa"/>
            <w:tcBorders>
              <w:left w:val="single" w:sz="4" w:space="0" w:color="auto"/>
              <w:righ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Rs.35000 at SSC level and Rs.55,000 at HSSC level</w:t>
            </w:r>
          </w:p>
        </w:tc>
        <w:tc>
          <w:tcPr>
            <w:tcW w:w="2189" w:type="dxa"/>
            <w:tcBorders>
              <w:lef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 xml:space="preserve">Equivalent to Pakistani Rupees </w:t>
            </w:r>
            <w:r w:rsidR="0074355C" w:rsidRPr="00562C7E">
              <w:rPr>
                <w:rFonts w:cs="Calibri"/>
              </w:rPr>
              <w:t xml:space="preserve">i.e </w:t>
            </w:r>
            <w:r w:rsidRPr="00562C7E">
              <w:rPr>
                <w:rFonts w:cs="Calibri"/>
              </w:rPr>
              <w:t>35000 at SSC level and Rs. 55,000 at HSSC level</w:t>
            </w:r>
          </w:p>
        </w:tc>
      </w:tr>
      <w:tr w:rsidR="00A658DE" w:rsidRPr="00562C7E" w:rsidTr="007E5849">
        <w:trPr>
          <w:jc w:val="center"/>
        </w:trPr>
        <w:tc>
          <w:tcPr>
            <w:tcW w:w="990" w:type="dxa"/>
            <w:tcMar>
              <w:top w:w="115" w:type="dxa"/>
              <w:left w:w="115" w:type="dxa"/>
              <w:bottom w:w="115" w:type="dxa"/>
              <w:right w:w="115" w:type="dxa"/>
            </w:tcMar>
            <w:vAlign w:val="center"/>
          </w:tcPr>
          <w:p w:rsidR="00A658DE" w:rsidRPr="00562C7E" w:rsidRDefault="00A658DE"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A658DE" w:rsidRPr="00562C7E" w:rsidRDefault="00A658DE" w:rsidP="00CE7F63">
            <w:pPr>
              <w:spacing w:after="0" w:line="240" w:lineRule="auto"/>
              <w:contextualSpacing/>
              <w:mirrorIndents/>
              <w:rPr>
                <w:rFonts w:cs="Calibri"/>
              </w:rPr>
            </w:pPr>
            <w:r w:rsidRPr="00562C7E">
              <w:rPr>
                <w:rFonts w:cs="Calibri"/>
              </w:rPr>
              <w:t>Permanent case processing fee at each level</w:t>
            </w:r>
          </w:p>
        </w:tc>
        <w:tc>
          <w:tcPr>
            <w:tcW w:w="1657"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Rs.15000</w:t>
            </w:r>
          </w:p>
        </w:tc>
        <w:tc>
          <w:tcPr>
            <w:tcW w:w="2054"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Rs.15000</w:t>
            </w:r>
          </w:p>
        </w:tc>
        <w:tc>
          <w:tcPr>
            <w:tcW w:w="2189" w:type="dxa"/>
            <w:tcBorders>
              <w:left w:val="single" w:sz="4" w:space="0" w:color="auto"/>
            </w:tcBorders>
            <w:vAlign w:val="center"/>
          </w:tcPr>
          <w:p w:rsidR="00A658DE" w:rsidRPr="00562C7E" w:rsidRDefault="001C417C" w:rsidP="00CE7F63">
            <w:pPr>
              <w:spacing w:after="0" w:line="240" w:lineRule="auto"/>
              <w:contextualSpacing/>
              <w:mirrorIndents/>
              <w:jc w:val="center"/>
              <w:rPr>
                <w:rFonts w:cs="Calibri"/>
              </w:rPr>
            </w:pPr>
            <w:r w:rsidRPr="00562C7E">
              <w:rPr>
                <w:rFonts w:cs="Calibri"/>
              </w:rPr>
              <w:t>Rs 15000</w:t>
            </w:r>
            <w:r w:rsidR="00A658DE" w:rsidRPr="00562C7E">
              <w:rPr>
                <w:rFonts w:cs="Calibri"/>
              </w:rPr>
              <w:t xml:space="preserve"> at SSC level &amp; </w:t>
            </w:r>
            <w:r w:rsidRPr="00562C7E">
              <w:rPr>
                <w:rFonts w:cs="Calibri"/>
              </w:rPr>
              <w:t>Rs15000</w:t>
            </w:r>
            <w:r w:rsidR="00A658DE" w:rsidRPr="00562C7E">
              <w:rPr>
                <w:rFonts w:cs="Calibri"/>
              </w:rPr>
              <w:t xml:space="preserve"> at HSSC level</w:t>
            </w:r>
          </w:p>
        </w:tc>
      </w:tr>
      <w:tr w:rsidR="00965038" w:rsidRPr="00562C7E" w:rsidTr="007E5849">
        <w:trPr>
          <w:jc w:val="center"/>
        </w:trPr>
        <w:tc>
          <w:tcPr>
            <w:tcW w:w="990" w:type="dxa"/>
            <w:tcMar>
              <w:top w:w="115" w:type="dxa"/>
              <w:left w:w="115" w:type="dxa"/>
              <w:bottom w:w="115" w:type="dxa"/>
              <w:right w:w="115" w:type="dxa"/>
            </w:tcMar>
            <w:vAlign w:val="center"/>
          </w:tcPr>
          <w:p w:rsidR="00965038" w:rsidRPr="00562C7E" w:rsidRDefault="00965038"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965038" w:rsidRPr="00562C7E" w:rsidRDefault="00965038" w:rsidP="00CE7F63">
            <w:pPr>
              <w:spacing w:after="0" w:line="240" w:lineRule="auto"/>
              <w:contextualSpacing/>
              <w:mirrorIndents/>
              <w:rPr>
                <w:rFonts w:cs="Calibri"/>
              </w:rPr>
            </w:pPr>
            <w:r w:rsidRPr="00562C7E">
              <w:rPr>
                <w:rFonts w:cs="Calibri"/>
              </w:rPr>
              <w:t>Renewal of permanent affiliation</w:t>
            </w:r>
          </w:p>
        </w:tc>
        <w:tc>
          <w:tcPr>
            <w:tcW w:w="1657" w:type="dxa"/>
            <w:tcBorders>
              <w:left w:val="single" w:sz="4" w:space="0" w:color="auto"/>
              <w:righ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Rs.3000</w:t>
            </w:r>
          </w:p>
          <w:p w:rsidR="00965038" w:rsidRPr="00562C7E" w:rsidRDefault="00965038" w:rsidP="00CE7F63">
            <w:pPr>
              <w:spacing w:after="0" w:line="240" w:lineRule="auto"/>
              <w:contextualSpacing/>
              <w:mirrorIndents/>
              <w:jc w:val="center"/>
              <w:rPr>
                <w:rFonts w:cs="Calibri"/>
              </w:rPr>
            </w:pPr>
            <w:r w:rsidRPr="00562C7E">
              <w:rPr>
                <w:rFonts w:cs="Calibri"/>
              </w:rPr>
              <w:t>per session</w:t>
            </w:r>
          </w:p>
        </w:tc>
        <w:tc>
          <w:tcPr>
            <w:tcW w:w="2054" w:type="dxa"/>
            <w:tcBorders>
              <w:left w:val="single" w:sz="4" w:space="0" w:color="auto"/>
              <w:righ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Rs.3000 per session</w:t>
            </w:r>
          </w:p>
        </w:tc>
        <w:tc>
          <w:tcPr>
            <w:tcW w:w="2189" w:type="dxa"/>
            <w:tcBorders>
              <w:left w:val="single" w:sz="4" w:space="0" w:color="auto"/>
            </w:tcBorders>
            <w:vAlign w:val="center"/>
          </w:tcPr>
          <w:p w:rsidR="00965038" w:rsidRPr="00562C7E" w:rsidRDefault="00965038" w:rsidP="00CE7F63">
            <w:pPr>
              <w:spacing w:after="0" w:line="240" w:lineRule="auto"/>
              <w:contextualSpacing/>
              <w:mirrorIndents/>
              <w:jc w:val="center"/>
              <w:rPr>
                <w:rFonts w:cs="Calibri"/>
              </w:rPr>
            </w:pPr>
            <w:r w:rsidRPr="00562C7E">
              <w:rPr>
                <w:rFonts w:cs="Calibri"/>
              </w:rPr>
              <w:t>US $ 200 per session  at SSC /HSSC</w:t>
            </w:r>
            <w:r w:rsidR="0074355C" w:rsidRPr="00562C7E">
              <w:rPr>
                <w:rFonts w:cs="Calibri"/>
              </w:rPr>
              <w:t xml:space="preserve"> level</w:t>
            </w:r>
          </w:p>
        </w:tc>
      </w:tr>
      <w:tr w:rsidR="00A658DE" w:rsidRPr="00562C7E" w:rsidTr="007E5849">
        <w:trPr>
          <w:jc w:val="center"/>
        </w:trPr>
        <w:tc>
          <w:tcPr>
            <w:tcW w:w="990" w:type="dxa"/>
            <w:tcMar>
              <w:top w:w="115" w:type="dxa"/>
              <w:left w:w="115" w:type="dxa"/>
              <w:bottom w:w="115" w:type="dxa"/>
              <w:right w:w="115" w:type="dxa"/>
            </w:tcMar>
            <w:vAlign w:val="center"/>
          </w:tcPr>
          <w:p w:rsidR="00A658DE" w:rsidRPr="00562C7E" w:rsidRDefault="00A658DE"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A658DE" w:rsidRPr="00562C7E" w:rsidRDefault="00185A6F" w:rsidP="00CE7F63">
            <w:pPr>
              <w:spacing w:after="0" w:line="240" w:lineRule="auto"/>
              <w:contextualSpacing/>
              <w:mirrorIndents/>
              <w:rPr>
                <w:rFonts w:cs="Calibri"/>
              </w:rPr>
            </w:pPr>
            <w:r w:rsidRPr="00562C7E">
              <w:rPr>
                <w:rFonts w:cs="Calibri"/>
              </w:rPr>
              <w:t xml:space="preserve">Extension/Renewal </w:t>
            </w:r>
            <w:r w:rsidR="00A658DE" w:rsidRPr="00562C7E">
              <w:rPr>
                <w:rFonts w:cs="Calibri"/>
              </w:rPr>
              <w:t>of provisional affiliation</w:t>
            </w:r>
          </w:p>
        </w:tc>
        <w:tc>
          <w:tcPr>
            <w:tcW w:w="1657"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Rs.2000</w:t>
            </w:r>
          </w:p>
          <w:p w:rsidR="00A658DE" w:rsidRPr="00562C7E" w:rsidRDefault="00A658DE" w:rsidP="00CE7F63">
            <w:pPr>
              <w:spacing w:after="0" w:line="240" w:lineRule="auto"/>
              <w:contextualSpacing/>
              <w:mirrorIndents/>
              <w:jc w:val="center"/>
              <w:rPr>
                <w:rFonts w:cs="Calibri"/>
              </w:rPr>
            </w:pPr>
            <w:r w:rsidRPr="00562C7E">
              <w:rPr>
                <w:rFonts w:cs="Calibri"/>
              </w:rPr>
              <w:t>per group</w:t>
            </w:r>
          </w:p>
        </w:tc>
        <w:tc>
          <w:tcPr>
            <w:tcW w:w="2054"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Rs.4000 per group</w:t>
            </w:r>
          </w:p>
        </w:tc>
        <w:tc>
          <w:tcPr>
            <w:tcW w:w="2189" w:type="dxa"/>
            <w:tcBorders>
              <w:lef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US $ 300 at SSC level and US $ 350 at HSSC level (per group)</w:t>
            </w:r>
          </w:p>
        </w:tc>
      </w:tr>
      <w:tr w:rsidR="007E5849" w:rsidRPr="00562C7E" w:rsidTr="007E5849">
        <w:trPr>
          <w:jc w:val="center"/>
        </w:trPr>
        <w:tc>
          <w:tcPr>
            <w:tcW w:w="990" w:type="dxa"/>
            <w:tcMar>
              <w:top w:w="115" w:type="dxa"/>
              <w:left w:w="115" w:type="dxa"/>
              <w:bottom w:w="115" w:type="dxa"/>
              <w:right w:w="115" w:type="dxa"/>
            </w:tcMar>
            <w:vAlign w:val="center"/>
          </w:tcPr>
          <w:p w:rsidR="007E5849" w:rsidRPr="00562C7E" w:rsidRDefault="007E5849" w:rsidP="00CE7F63">
            <w:pPr>
              <w:pStyle w:val="ListParagraph"/>
              <w:numPr>
                <w:ilvl w:val="0"/>
                <w:numId w:val="8"/>
              </w:numPr>
              <w:mirrorIndents/>
              <w:jc w:val="center"/>
              <w:rPr>
                <w:rFonts w:ascii="Calibri" w:hAnsi="Calibri" w:cs="Calibri"/>
                <w:sz w:val="22"/>
              </w:rPr>
            </w:pPr>
          </w:p>
          <w:p w:rsidR="007E5849" w:rsidRPr="00562C7E" w:rsidRDefault="007E5849" w:rsidP="00CE7F63">
            <w:pPr>
              <w:pStyle w:val="ListParagraph"/>
              <w:ind w:left="0"/>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7E5849" w:rsidRPr="00562C7E" w:rsidRDefault="007E5849" w:rsidP="00CE7F63">
            <w:pPr>
              <w:spacing w:after="0" w:line="240" w:lineRule="auto"/>
              <w:contextualSpacing/>
              <w:mirrorIndents/>
              <w:rPr>
                <w:rFonts w:cs="Calibri"/>
              </w:rPr>
            </w:pPr>
            <w:r w:rsidRPr="00562C7E">
              <w:rPr>
                <w:rFonts w:cs="Calibri"/>
              </w:rPr>
              <w:t>Surcharge fee on submission of extension /renewal of cases after expiry of the due date</w:t>
            </w:r>
          </w:p>
        </w:tc>
        <w:tc>
          <w:tcPr>
            <w:tcW w:w="1657" w:type="dxa"/>
            <w:tcBorders>
              <w:left w:val="single" w:sz="4" w:space="0" w:color="auto"/>
              <w:right w:val="single" w:sz="4" w:space="0" w:color="auto"/>
            </w:tcBorders>
            <w:vAlign w:val="center"/>
          </w:tcPr>
          <w:p w:rsidR="007E5849" w:rsidRPr="00562C7E" w:rsidRDefault="007E5849" w:rsidP="00CE7F63">
            <w:pPr>
              <w:spacing w:after="0" w:line="240" w:lineRule="auto"/>
              <w:contextualSpacing/>
              <w:mirrorIndents/>
              <w:jc w:val="center"/>
              <w:rPr>
                <w:rFonts w:cs="Calibri"/>
              </w:rPr>
            </w:pPr>
            <w:r w:rsidRPr="00562C7E">
              <w:rPr>
                <w:rFonts w:cs="Calibri"/>
              </w:rPr>
              <w:t>Rs.5,000 SSC/ Rs.10,000/HSSC</w:t>
            </w:r>
          </w:p>
          <w:p w:rsidR="007E5849" w:rsidRPr="00562C7E" w:rsidRDefault="007E5849" w:rsidP="00CE7F63">
            <w:pPr>
              <w:spacing w:after="0" w:line="240" w:lineRule="auto"/>
              <w:contextualSpacing/>
              <w:mirrorIndents/>
              <w:jc w:val="center"/>
              <w:rPr>
                <w:rFonts w:cs="Calibri"/>
              </w:rPr>
            </w:pPr>
            <w:r w:rsidRPr="00562C7E">
              <w:rPr>
                <w:rFonts w:cs="Calibri"/>
              </w:rPr>
              <w:t>per month</w:t>
            </w:r>
          </w:p>
        </w:tc>
        <w:tc>
          <w:tcPr>
            <w:tcW w:w="2054" w:type="dxa"/>
            <w:tcBorders>
              <w:left w:val="single" w:sz="4" w:space="0" w:color="auto"/>
              <w:right w:val="single" w:sz="4" w:space="0" w:color="auto"/>
            </w:tcBorders>
            <w:vAlign w:val="center"/>
          </w:tcPr>
          <w:p w:rsidR="007E5849" w:rsidRPr="00562C7E" w:rsidRDefault="007E5849" w:rsidP="00CE7F63">
            <w:pPr>
              <w:spacing w:after="0" w:line="240" w:lineRule="auto"/>
              <w:contextualSpacing/>
              <w:mirrorIndents/>
              <w:jc w:val="center"/>
              <w:rPr>
                <w:rFonts w:cs="Calibri"/>
              </w:rPr>
            </w:pPr>
            <w:r w:rsidRPr="00562C7E">
              <w:rPr>
                <w:rFonts w:cs="Calibri"/>
              </w:rPr>
              <w:t>Rs.5,000 SSC/ Rs.10,000/HSSC</w:t>
            </w:r>
          </w:p>
          <w:p w:rsidR="007E5849" w:rsidRPr="00562C7E" w:rsidRDefault="007E5849" w:rsidP="00CE7F63">
            <w:pPr>
              <w:spacing w:after="0" w:line="240" w:lineRule="auto"/>
              <w:contextualSpacing/>
              <w:mirrorIndents/>
              <w:jc w:val="center"/>
              <w:rPr>
                <w:rFonts w:cs="Calibri"/>
              </w:rPr>
            </w:pPr>
            <w:r w:rsidRPr="00562C7E">
              <w:rPr>
                <w:rFonts w:cs="Calibri"/>
              </w:rPr>
              <w:t>per month</w:t>
            </w:r>
          </w:p>
        </w:tc>
        <w:tc>
          <w:tcPr>
            <w:tcW w:w="2189" w:type="dxa"/>
            <w:tcBorders>
              <w:left w:val="single" w:sz="4" w:space="0" w:color="auto"/>
            </w:tcBorders>
            <w:vAlign w:val="center"/>
          </w:tcPr>
          <w:p w:rsidR="001C417C" w:rsidRPr="00562C7E" w:rsidRDefault="001C417C" w:rsidP="00CE7F63">
            <w:pPr>
              <w:spacing w:after="0" w:line="240" w:lineRule="auto"/>
              <w:contextualSpacing/>
              <w:mirrorIndents/>
              <w:jc w:val="center"/>
              <w:rPr>
                <w:rFonts w:cs="Calibri"/>
              </w:rPr>
            </w:pPr>
            <w:r w:rsidRPr="00562C7E">
              <w:rPr>
                <w:rFonts w:cs="Calibri"/>
              </w:rPr>
              <w:t>Rs.5,000 SSC/ Rs.10,000/HSSC</w:t>
            </w:r>
          </w:p>
          <w:p w:rsidR="007E5849" w:rsidRPr="00562C7E" w:rsidRDefault="001C417C" w:rsidP="00CE7F63">
            <w:pPr>
              <w:spacing w:after="0" w:line="240" w:lineRule="auto"/>
              <w:contextualSpacing/>
              <w:mirrorIndents/>
              <w:jc w:val="center"/>
              <w:rPr>
                <w:rFonts w:cs="Calibri"/>
              </w:rPr>
            </w:pPr>
            <w:r w:rsidRPr="00562C7E">
              <w:rPr>
                <w:rFonts w:cs="Calibri"/>
              </w:rPr>
              <w:t>per month</w:t>
            </w:r>
          </w:p>
        </w:tc>
      </w:tr>
      <w:tr w:rsidR="00A658DE" w:rsidRPr="00562C7E" w:rsidTr="007E5849">
        <w:trPr>
          <w:jc w:val="center"/>
        </w:trPr>
        <w:tc>
          <w:tcPr>
            <w:tcW w:w="990" w:type="dxa"/>
            <w:tcMar>
              <w:top w:w="115" w:type="dxa"/>
              <w:left w:w="115" w:type="dxa"/>
              <w:bottom w:w="115" w:type="dxa"/>
              <w:right w:w="115" w:type="dxa"/>
            </w:tcMar>
            <w:vAlign w:val="center"/>
          </w:tcPr>
          <w:p w:rsidR="00A658DE" w:rsidRPr="00562C7E" w:rsidRDefault="00A658DE"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A658DE" w:rsidRPr="00562C7E" w:rsidRDefault="00A658DE" w:rsidP="00CE7F63">
            <w:pPr>
              <w:spacing w:after="0" w:line="240" w:lineRule="auto"/>
              <w:contextualSpacing/>
              <w:mirrorIndents/>
              <w:rPr>
                <w:rFonts w:cs="Calibri"/>
              </w:rPr>
            </w:pPr>
            <w:r w:rsidRPr="00562C7E">
              <w:rPr>
                <w:rFonts w:cs="Calibri"/>
              </w:rPr>
              <w:t>Fresh Group/Subject affiliation</w:t>
            </w:r>
          </w:p>
        </w:tc>
        <w:tc>
          <w:tcPr>
            <w:tcW w:w="1657"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Rs.3000</w:t>
            </w:r>
          </w:p>
          <w:p w:rsidR="00A658DE" w:rsidRPr="00562C7E" w:rsidRDefault="00A658DE" w:rsidP="00CE7F63">
            <w:pPr>
              <w:spacing w:after="0" w:line="240" w:lineRule="auto"/>
              <w:contextualSpacing/>
              <w:mirrorIndents/>
              <w:jc w:val="center"/>
              <w:rPr>
                <w:rFonts w:cs="Calibri"/>
              </w:rPr>
            </w:pPr>
            <w:r w:rsidRPr="00562C7E">
              <w:rPr>
                <w:rFonts w:cs="Calibri"/>
              </w:rPr>
              <w:t>per group/</w:t>
            </w:r>
          </w:p>
          <w:p w:rsidR="00A658DE" w:rsidRPr="00562C7E" w:rsidRDefault="00A658DE" w:rsidP="00CE7F63">
            <w:pPr>
              <w:spacing w:after="0" w:line="240" w:lineRule="auto"/>
              <w:contextualSpacing/>
              <w:mirrorIndents/>
              <w:jc w:val="center"/>
              <w:rPr>
                <w:rFonts w:cs="Calibri"/>
              </w:rPr>
            </w:pPr>
            <w:r w:rsidRPr="00562C7E">
              <w:rPr>
                <w:rFonts w:cs="Calibri"/>
              </w:rPr>
              <w:t>Subject(s)</w:t>
            </w:r>
          </w:p>
        </w:tc>
        <w:tc>
          <w:tcPr>
            <w:tcW w:w="2054"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Rs.5000 per group/Subject(s)</w:t>
            </w:r>
          </w:p>
        </w:tc>
        <w:tc>
          <w:tcPr>
            <w:tcW w:w="2189" w:type="dxa"/>
            <w:tcBorders>
              <w:lef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US $ 50 per subject at SSC level and US $ 100 per subject at HSSC level</w:t>
            </w:r>
          </w:p>
          <w:p w:rsidR="001C417C" w:rsidRPr="00562C7E" w:rsidRDefault="001C417C" w:rsidP="00CE7F63">
            <w:pPr>
              <w:spacing w:after="0" w:line="240" w:lineRule="auto"/>
              <w:contextualSpacing/>
              <w:mirrorIndents/>
              <w:jc w:val="center"/>
              <w:rPr>
                <w:rFonts w:cs="Calibri"/>
              </w:rPr>
            </w:pPr>
          </w:p>
          <w:p w:rsidR="00A658DE" w:rsidRPr="00562C7E" w:rsidRDefault="00F849C5" w:rsidP="00CE7F63">
            <w:pPr>
              <w:spacing w:after="0" w:line="240" w:lineRule="auto"/>
              <w:contextualSpacing/>
              <w:mirrorIndents/>
              <w:jc w:val="center"/>
              <w:rPr>
                <w:rFonts w:cs="Calibri"/>
              </w:rPr>
            </w:pPr>
            <w:r w:rsidRPr="00562C7E">
              <w:rPr>
                <w:rFonts w:cs="Calibri"/>
              </w:rPr>
              <w:t xml:space="preserve">US $ 1000 per </w:t>
            </w:r>
            <w:r w:rsidR="00254429" w:rsidRPr="00562C7E">
              <w:rPr>
                <w:rFonts w:cs="Calibri"/>
              </w:rPr>
              <w:t>group at</w:t>
            </w:r>
            <w:r w:rsidRPr="00562C7E">
              <w:rPr>
                <w:rFonts w:cs="Calibri"/>
              </w:rPr>
              <w:t xml:space="preserve"> SSC level and US $ 1200 per group  at HSSC level along with inspection fee where required.</w:t>
            </w:r>
          </w:p>
        </w:tc>
      </w:tr>
      <w:tr w:rsidR="00A658DE" w:rsidRPr="00562C7E" w:rsidTr="007E5849">
        <w:trPr>
          <w:jc w:val="center"/>
        </w:trPr>
        <w:tc>
          <w:tcPr>
            <w:tcW w:w="990" w:type="dxa"/>
            <w:tcMar>
              <w:top w:w="115" w:type="dxa"/>
              <w:left w:w="115" w:type="dxa"/>
              <w:bottom w:w="115" w:type="dxa"/>
              <w:right w:w="115" w:type="dxa"/>
            </w:tcMar>
            <w:vAlign w:val="center"/>
          </w:tcPr>
          <w:p w:rsidR="00A658DE" w:rsidRPr="00562C7E" w:rsidRDefault="00A658DE" w:rsidP="00CE7F63">
            <w:pPr>
              <w:pStyle w:val="ListParagraph"/>
              <w:numPr>
                <w:ilvl w:val="0"/>
                <w:numId w:val="8"/>
              </w:numPr>
              <w:mirrorIndents/>
              <w:jc w:val="center"/>
              <w:rPr>
                <w:rFonts w:ascii="Calibri" w:hAnsi="Calibri" w:cs="Calibri"/>
                <w:sz w:val="22"/>
              </w:rPr>
            </w:pPr>
          </w:p>
        </w:tc>
        <w:tc>
          <w:tcPr>
            <w:tcW w:w="2751" w:type="dxa"/>
            <w:tcBorders>
              <w:right w:val="single" w:sz="4" w:space="0" w:color="auto"/>
            </w:tcBorders>
            <w:tcMar>
              <w:top w:w="115" w:type="dxa"/>
              <w:left w:w="115" w:type="dxa"/>
              <w:bottom w:w="115" w:type="dxa"/>
              <w:right w:w="115" w:type="dxa"/>
            </w:tcMar>
            <w:vAlign w:val="center"/>
          </w:tcPr>
          <w:p w:rsidR="00A658DE" w:rsidRPr="00562C7E" w:rsidRDefault="00A658DE" w:rsidP="00CE7F63">
            <w:pPr>
              <w:spacing w:after="0" w:line="240" w:lineRule="auto"/>
              <w:contextualSpacing/>
              <w:mirrorIndents/>
              <w:rPr>
                <w:rFonts w:cs="Calibri"/>
              </w:rPr>
            </w:pPr>
            <w:r w:rsidRPr="00562C7E">
              <w:rPr>
                <w:rFonts w:cs="Calibri"/>
              </w:rPr>
              <w:t>Change of Nomenclature / Address / Status fee</w:t>
            </w:r>
          </w:p>
        </w:tc>
        <w:tc>
          <w:tcPr>
            <w:tcW w:w="1657"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Rs.7500</w:t>
            </w:r>
          </w:p>
        </w:tc>
        <w:tc>
          <w:tcPr>
            <w:tcW w:w="2054" w:type="dxa"/>
            <w:tcBorders>
              <w:left w:val="single" w:sz="4" w:space="0" w:color="auto"/>
              <w:righ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Rs.10000</w:t>
            </w:r>
          </w:p>
        </w:tc>
        <w:tc>
          <w:tcPr>
            <w:tcW w:w="2189" w:type="dxa"/>
            <w:tcBorders>
              <w:left w:val="single" w:sz="4" w:space="0" w:color="auto"/>
            </w:tcBorders>
            <w:vAlign w:val="center"/>
          </w:tcPr>
          <w:p w:rsidR="00A658DE" w:rsidRPr="00562C7E" w:rsidRDefault="00A658DE" w:rsidP="00CE7F63">
            <w:pPr>
              <w:spacing w:after="0" w:line="240" w:lineRule="auto"/>
              <w:contextualSpacing/>
              <w:mirrorIndents/>
              <w:jc w:val="center"/>
              <w:rPr>
                <w:rFonts w:cs="Calibri"/>
              </w:rPr>
            </w:pPr>
            <w:r w:rsidRPr="00562C7E">
              <w:rPr>
                <w:rFonts w:cs="Calibri"/>
              </w:rPr>
              <w:t xml:space="preserve">Equivalent to Pakistani Rupees </w:t>
            </w:r>
            <w:r w:rsidR="00EB6A5F" w:rsidRPr="00562C7E">
              <w:rPr>
                <w:rFonts w:cs="Calibri"/>
              </w:rPr>
              <w:t xml:space="preserve">i.e </w:t>
            </w:r>
            <w:r w:rsidRPr="00562C7E">
              <w:rPr>
                <w:rFonts w:cs="Calibri"/>
              </w:rPr>
              <w:t>10000</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What is the jurisdiction of FBISE?</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rPr>
              <w:t>Ans</w:t>
            </w: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rPr>
            </w:pPr>
            <w:r w:rsidRPr="00562C7E">
              <w:rPr>
                <w:rFonts w:cs="Calibri"/>
              </w:rPr>
              <w:t>Federal Board of Intermediate and Secondary Education Act, 1975 defines the jurisdiction of the Board in following words.</w:t>
            </w:r>
          </w:p>
          <w:p w:rsidR="00A658DE" w:rsidRPr="00562C7E" w:rsidRDefault="00A658DE" w:rsidP="00CE7F63">
            <w:pPr>
              <w:spacing w:after="0" w:line="240" w:lineRule="auto"/>
              <w:contextualSpacing/>
              <w:mirrorIndents/>
              <w:jc w:val="both"/>
              <w:rPr>
                <w:rFonts w:cs="Calibri"/>
              </w:rPr>
            </w:pPr>
            <w:r w:rsidRPr="00562C7E">
              <w:rPr>
                <w:rFonts w:cs="Calibri"/>
              </w:rPr>
              <w:t>“The Board shall exercise the powers conferred on it or under this Act in respect of the institutions within the Federal Capital, the Federally Administered Tribal Areas, and such states and territories, not forming part of a province, as are or may be included in Pakistan, whether by accession or otherwise, institutions established by Pakistan Mission or Citizens of Pakistan in foreign countries</w:t>
            </w:r>
            <w:r w:rsidR="004471E2" w:rsidRPr="00562C7E">
              <w:rPr>
                <w:rFonts w:cs="Calibri"/>
              </w:rPr>
              <w:t xml:space="preserve"> and all other educational institut</w:t>
            </w:r>
            <w:r w:rsidR="00740C73" w:rsidRPr="00562C7E">
              <w:rPr>
                <w:rFonts w:cs="Calibri"/>
              </w:rPr>
              <w:t>ions</w:t>
            </w:r>
            <w:r w:rsidR="004471E2" w:rsidRPr="00562C7E">
              <w:rPr>
                <w:rFonts w:cs="Calibri"/>
              </w:rPr>
              <w:t xml:space="preserve"> desirous to seek affiliation with the Board from within the country and from abroad including such institutions located within the jurisdiction of Cantonment Boards constituted under the Cantonments Acts, 1924( II of 1924), as seek affiliation of the Board.”</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What are due dates of applying for fresh affiliation case(s)?</w:t>
            </w:r>
            <w:r w:rsidRPr="00562C7E">
              <w:rPr>
                <w:rFonts w:cs="Calibri"/>
                <w:b/>
              </w:rPr>
              <w:tab/>
            </w:r>
          </w:p>
        </w:tc>
      </w:tr>
      <w:tr w:rsidR="00A658DE" w:rsidRPr="00562C7E" w:rsidTr="00780674">
        <w:trPr>
          <w:trHeight w:val="1486"/>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rPr>
              <w:t>Ans</w:t>
            </w:r>
          </w:p>
        </w:tc>
        <w:tc>
          <w:tcPr>
            <w:tcW w:w="8651" w:type="dxa"/>
            <w:gridSpan w:val="4"/>
            <w:tcMar>
              <w:top w:w="115" w:type="dxa"/>
              <w:left w:w="115" w:type="dxa"/>
              <w:bottom w:w="115" w:type="dxa"/>
              <w:right w:w="115" w:type="dxa"/>
            </w:tcMar>
          </w:tcPr>
          <w:p w:rsidR="00A658DE" w:rsidRDefault="00A658DE" w:rsidP="00CE7F63">
            <w:pPr>
              <w:spacing w:after="0" w:line="240" w:lineRule="auto"/>
              <w:contextualSpacing/>
              <w:mirrorIndents/>
              <w:jc w:val="both"/>
              <w:rPr>
                <w:rFonts w:cs="Calibri"/>
              </w:rPr>
            </w:pPr>
            <w:r w:rsidRPr="00562C7E">
              <w:rPr>
                <w:rFonts w:cs="Calibri"/>
              </w:rPr>
              <w:t>The institution applying for fresh affiliation, shall submit the case on the prescribed form well before the beginning of the academic session. The application</w:t>
            </w:r>
            <w:r w:rsidR="009C4A67" w:rsidRPr="00562C7E">
              <w:rPr>
                <w:rFonts w:cs="Calibri"/>
              </w:rPr>
              <w:t xml:space="preserve"> shall be entertained up to 30</w:t>
            </w:r>
            <w:r w:rsidR="009C4A67" w:rsidRPr="00562C7E">
              <w:rPr>
                <w:rFonts w:cs="Calibri"/>
                <w:vertAlign w:val="superscript"/>
              </w:rPr>
              <w:t>th</w:t>
            </w:r>
            <w:r w:rsidR="009C4A67" w:rsidRPr="00562C7E">
              <w:rPr>
                <w:rFonts w:cs="Calibri"/>
              </w:rPr>
              <w:t xml:space="preserve"> November</w:t>
            </w:r>
            <w:r w:rsidRPr="00562C7E">
              <w:rPr>
                <w:rFonts w:cs="Calibri"/>
              </w:rPr>
              <w:t xml:space="preserve"> at SSC level and </w:t>
            </w:r>
            <w:r w:rsidR="009C4A67" w:rsidRPr="00562C7E">
              <w:rPr>
                <w:rFonts w:cs="Calibri"/>
              </w:rPr>
              <w:t>30</w:t>
            </w:r>
            <w:r w:rsidR="009C4A67" w:rsidRPr="00562C7E">
              <w:rPr>
                <w:rFonts w:cs="Calibri"/>
                <w:vertAlign w:val="superscript"/>
              </w:rPr>
              <w:t>th</w:t>
            </w:r>
            <w:r w:rsidR="009C4A67" w:rsidRPr="00562C7E">
              <w:rPr>
                <w:rFonts w:cs="Calibri"/>
              </w:rPr>
              <w:t xml:space="preserve"> March</w:t>
            </w:r>
            <w:r w:rsidRPr="00562C7E">
              <w:rPr>
                <w:rFonts w:cs="Calibri"/>
              </w:rPr>
              <w:t xml:space="preserve"> at HSSC level every year. On expiry of the deadline, the application shall be entertained on submission of surcharge fee @ Rs.5000</w:t>
            </w:r>
            <w:r w:rsidR="009315D4" w:rsidRPr="00562C7E">
              <w:rPr>
                <w:rFonts w:cs="Calibri"/>
              </w:rPr>
              <w:t xml:space="preserve"> per month</w:t>
            </w:r>
            <w:r w:rsidRPr="00562C7E">
              <w:rPr>
                <w:rFonts w:cs="Calibri"/>
              </w:rPr>
              <w:t xml:space="preserve"> up to </w:t>
            </w:r>
            <w:r w:rsidR="009315D4" w:rsidRPr="00562C7E">
              <w:rPr>
                <w:rFonts w:cs="Calibri"/>
              </w:rPr>
              <w:t>31</w:t>
            </w:r>
            <w:r w:rsidR="009315D4" w:rsidRPr="00562C7E">
              <w:rPr>
                <w:rFonts w:cs="Calibri"/>
                <w:vertAlign w:val="superscript"/>
              </w:rPr>
              <w:t>st</w:t>
            </w:r>
            <w:r w:rsidR="009315D4" w:rsidRPr="00562C7E">
              <w:rPr>
                <w:rFonts w:cs="Calibri"/>
              </w:rPr>
              <w:t xml:space="preserve"> January</w:t>
            </w:r>
            <w:r w:rsidRPr="00562C7E">
              <w:rPr>
                <w:rFonts w:cs="Calibri"/>
              </w:rPr>
              <w:t xml:space="preserve"> at SSC level and Rs.10000</w:t>
            </w:r>
            <w:r w:rsidR="009315D4" w:rsidRPr="00562C7E">
              <w:rPr>
                <w:rFonts w:cs="Calibri"/>
              </w:rPr>
              <w:t xml:space="preserve"> per month</w:t>
            </w:r>
            <w:r w:rsidRPr="00562C7E">
              <w:rPr>
                <w:rFonts w:cs="Calibri"/>
              </w:rPr>
              <w:t xml:space="preserve"> up to </w:t>
            </w:r>
            <w:r w:rsidR="009315D4" w:rsidRPr="00562C7E">
              <w:rPr>
                <w:rFonts w:cs="Calibri"/>
              </w:rPr>
              <w:t>31</w:t>
            </w:r>
            <w:r w:rsidR="009315D4" w:rsidRPr="00562C7E">
              <w:rPr>
                <w:rFonts w:cs="Calibri"/>
                <w:vertAlign w:val="superscript"/>
              </w:rPr>
              <w:t>st</w:t>
            </w:r>
            <w:r w:rsidR="00244668" w:rsidRPr="00562C7E">
              <w:rPr>
                <w:rFonts w:cs="Calibri"/>
              </w:rPr>
              <w:t>May</w:t>
            </w:r>
            <w:r w:rsidRPr="00562C7E">
              <w:rPr>
                <w:rFonts w:cs="Calibri"/>
              </w:rPr>
              <w:t xml:space="preserve"> at HSSC level.</w:t>
            </w:r>
          </w:p>
          <w:p w:rsidR="00CE7F63" w:rsidRDefault="00CE7F63" w:rsidP="00CE7F63">
            <w:pPr>
              <w:spacing w:after="0" w:line="240" w:lineRule="auto"/>
              <w:contextualSpacing/>
              <w:mirrorIndents/>
              <w:jc w:val="both"/>
              <w:rPr>
                <w:rFonts w:cs="Calibri"/>
              </w:rPr>
            </w:pPr>
          </w:p>
          <w:p w:rsidR="00CE7F63" w:rsidRPr="00562C7E" w:rsidRDefault="00CE7F63" w:rsidP="00CE7F63">
            <w:pPr>
              <w:spacing w:after="0" w:line="240" w:lineRule="auto"/>
              <w:contextualSpacing/>
              <w:mirrorIndents/>
              <w:jc w:val="both"/>
              <w:rPr>
                <w:rFonts w:cs="Calibri"/>
              </w:rPr>
            </w:pP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What is the due date</w:t>
            </w:r>
            <w:r w:rsidR="00FB31D3" w:rsidRPr="00562C7E">
              <w:rPr>
                <w:rFonts w:cs="Calibri"/>
                <w:b/>
              </w:rPr>
              <w:t xml:space="preserve"> and required documents</w:t>
            </w:r>
            <w:r w:rsidRPr="00562C7E">
              <w:rPr>
                <w:rFonts w:cs="Calibri"/>
                <w:b/>
              </w:rPr>
              <w:t xml:space="preserve"> for seeking fresh group/subject affiliation?</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rPr>
              <w:t>Ans</w:t>
            </w: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rPr>
            </w:pPr>
            <w:r w:rsidRPr="00562C7E">
              <w:rPr>
                <w:rFonts w:cs="Calibri"/>
              </w:rPr>
              <w:t>An affiliated institution will apply for fresh group(s) / subject (s) affiliation (if required) within a month after start of session i.e. up to 30</w:t>
            </w:r>
            <w:r w:rsidRPr="00562C7E">
              <w:rPr>
                <w:rFonts w:cs="Calibri"/>
                <w:vertAlign w:val="superscript"/>
              </w:rPr>
              <w:t>th</w:t>
            </w:r>
            <w:r w:rsidRPr="00562C7E">
              <w:rPr>
                <w:rFonts w:cs="Calibri"/>
              </w:rPr>
              <w:t xml:space="preserve"> May at SSC level and 30</w:t>
            </w:r>
            <w:r w:rsidRPr="00562C7E">
              <w:rPr>
                <w:rFonts w:cs="Calibri"/>
                <w:vertAlign w:val="superscript"/>
              </w:rPr>
              <w:t>th</w:t>
            </w:r>
            <w:r w:rsidRPr="00562C7E">
              <w:rPr>
                <w:rFonts w:cs="Calibri"/>
              </w:rPr>
              <w:t xml:space="preserve"> September at HSSC level. In case of delay</w:t>
            </w:r>
            <w:r w:rsidR="00EB6A5F" w:rsidRPr="00562C7E">
              <w:rPr>
                <w:rFonts w:cs="Calibri"/>
              </w:rPr>
              <w:t>,</w:t>
            </w:r>
            <w:r w:rsidRPr="00562C7E">
              <w:rPr>
                <w:rFonts w:cs="Calibri"/>
              </w:rPr>
              <w:t xml:space="preserve"> surcharge amount of Rs.1000 per month will be imposed along with prescribed fee for fresh group(s) / subject(s) affiliation.</w:t>
            </w:r>
            <w:r w:rsidR="00FB31D3" w:rsidRPr="00562C7E">
              <w:rPr>
                <w:rFonts w:cs="Calibri"/>
              </w:rPr>
              <w:t xml:space="preserve"> Required Documents are Prescribed form, documents of teachers, details of labs </w:t>
            </w:r>
            <w:r w:rsidR="00EB6A5F" w:rsidRPr="00562C7E">
              <w:rPr>
                <w:rFonts w:cs="Calibri"/>
              </w:rPr>
              <w:t>(</w:t>
            </w:r>
            <w:r w:rsidR="00FB31D3" w:rsidRPr="00562C7E">
              <w:rPr>
                <w:rFonts w:cs="Calibri"/>
              </w:rPr>
              <w:t>if practical involved</w:t>
            </w:r>
            <w:r w:rsidR="00EB6A5F" w:rsidRPr="00562C7E">
              <w:rPr>
                <w:rFonts w:cs="Calibri"/>
              </w:rPr>
              <w:t>)</w:t>
            </w:r>
            <w:r w:rsidR="00FB31D3" w:rsidRPr="00562C7E">
              <w:rPr>
                <w:rFonts w:cs="Calibri"/>
              </w:rPr>
              <w:t>, details of books added in library for required subjects/groups.</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What is the procedure</w:t>
            </w:r>
            <w:r w:rsidR="00185A6F" w:rsidRPr="00562C7E">
              <w:rPr>
                <w:rFonts w:cs="Calibri"/>
                <w:b/>
              </w:rPr>
              <w:t xml:space="preserve"> and</w:t>
            </w:r>
            <w:r w:rsidR="00846A2F" w:rsidRPr="00562C7E">
              <w:rPr>
                <w:rFonts w:cs="Calibri"/>
                <w:b/>
              </w:rPr>
              <w:t xml:space="preserve"> dates</w:t>
            </w:r>
            <w:r w:rsidRPr="00562C7E">
              <w:rPr>
                <w:rFonts w:cs="Calibri"/>
                <w:b/>
              </w:rPr>
              <w:t xml:space="preserve"> for extension in affiliation?</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bCs/>
              </w:rPr>
              <w:t>Ans</w:t>
            </w: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rPr>
            </w:pPr>
            <w:r w:rsidRPr="00562C7E">
              <w:rPr>
                <w:rFonts w:cs="Calibri"/>
              </w:rPr>
              <w:t>Provisional affiliation is extended after expiry of every session i.e. after 02 years. One can apply for extension in affiliation on proforma available on FBISE website.</w:t>
            </w:r>
            <w:r w:rsidR="00846A2F" w:rsidRPr="00562C7E">
              <w:rPr>
                <w:rFonts w:cs="Calibri"/>
              </w:rPr>
              <w:t>Due date for submission of extension in affiliation cases is last date of January and May each year at SSC and HSSC level</w:t>
            </w:r>
            <w:r w:rsidR="005B5CED" w:rsidRPr="00562C7E">
              <w:rPr>
                <w:rFonts w:cs="Calibri"/>
              </w:rPr>
              <w:t>s</w:t>
            </w:r>
            <w:r w:rsidR="00846A2F" w:rsidRPr="00562C7E">
              <w:rPr>
                <w:rFonts w:cs="Calibri"/>
              </w:rPr>
              <w:t>, respectively. After due dates</w:t>
            </w:r>
            <w:r w:rsidR="005B5CED" w:rsidRPr="00562C7E">
              <w:rPr>
                <w:rFonts w:cs="Calibri"/>
              </w:rPr>
              <w:t>,</w:t>
            </w:r>
            <w:r w:rsidR="00846A2F" w:rsidRPr="00562C7E">
              <w:rPr>
                <w:rFonts w:cs="Calibri"/>
              </w:rPr>
              <w:t xml:space="preserve"> surcharge will be imposed as prescribed by the Board in case of fresh affiliation.</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What are the criteria of seeking permanent affiliation?</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bCs/>
              </w:rPr>
              <w:t>Ans</w:t>
            </w: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rPr>
            </w:pPr>
            <w:r w:rsidRPr="00562C7E">
              <w:rPr>
                <w:rFonts w:cs="Calibri"/>
              </w:rPr>
              <w:t>As per provision given in Clause 1.2(l) of FBISE Calendar, Academic Rules Vol-I, the School/College provisionally affiliated with the Board</w:t>
            </w:r>
            <w:r w:rsidR="001C417C" w:rsidRPr="00562C7E">
              <w:rPr>
                <w:rFonts w:cs="Calibri"/>
              </w:rPr>
              <w:t xml:space="preserve"> </w:t>
            </w:r>
            <w:r w:rsidR="005B5CED" w:rsidRPr="00562C7E">
              <w:rPr>
                <w:rFonts w:cs="Calibri"/>
              </w:rPr>
              <w:t>having</w:t>
            </w:r>
            <w:r w:rsidR="002735D4" w:rsidRPr="00562C7E">
              <w:rPr>
                <w:rFonts w:cs="Calibri"/>
              </w:rPr>
              <w:t xml:space="preserve"> its own building</w:t>
            </w:r>
            <w:r w:rsidRPr="00562C7E">
              <w:rPr>
                <w:rFonts w:cs="Calibri"/>
              </w:rPr>
              <w:t>, having 60% and above results for the last consecutive five years and a minimum of 100 students at SSC level and 80 at the HSSC level may apply for grant of permanent affiliation.</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What is the procedure for change of name, building and change of status of institution?</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bCs/>
              </w:rPr>
              <w:t>Ans</w:t>
            </w:r>
          </w:p>
        </w:tc>
        <w:tc>
          <w:tcPr>
            <w:tcW w:w="8651" w:type="dxa"/>
            <w:gridSpan w:val="4"/>
            <w:tcMar>
              <w:top w:w="115" w:type="dxa"/>
              <w:left w:w="115" w:type="dxa"/>
              <w:bottom w:w="115" w:type="dxa"/>
              <w:right w:w="115" w:type="dxa"/>
            </w:tcMar>
          </w:tcPr>
          <w:p w:rsidR="00A658DE" w:rsidRPr="00562C7E" w:rsidRDefault="008C75DE" w:rsidP="00CE7F63">
            <w:pPr>
              <w:spacing w:after="0" w:line="240" w:lineRule="auto"/>
              <w:contextualSpacing/>
              <w:mirrorIndents/>
              <w:jc w:val="both"/>
              <w:rPr>
                <w:rFonts w:cs="Calibri"/>
              </w:rPr>
            </w:pPr>
            <w:r w:rsidRPr="00562C7E">
              <w:rPr>
                <w:rFonts w:cs="Calibri"/>
              </w:rPr>
              <w:t>Nomenclature/status is changed on request of legal controlling body (BOG/Directorate etc.) after submission of documents required by the FBISE and on payment of amounting to Rs.10,000/-. However, change of building is approved after conduct of inspection and submission of requisite inspection fee.</w:t>
            </w:r>
            <w:bookmarkStart w:id="0" w:name="_GoBack"/>
            <w:bookmarkEnd w:id="0"/>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rPr>
              <w:t>On what grounds is an institution disaffiliated?</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bCs/>
              </w:rPr>
              <w:t>Ans</w:t>
            </w:r>
          </w:p>
        </w:tc>
        <w:tc>
          <w:tcPr>
            <w:tcW w:w="8651" w:type="dxa"/>
            <w:gridSpan w:val="4"/>
            <w:tcMar>
              <w:top w:w="115" w:type="dxa"/>
              <w:left w:w="115" w:type="dxa"/>
              <w:bottom w:w="115" w:type="dxa"/>
              <w:right w:w="115" w:type="dxa"/>
            </w:tcMar>
          </w:tcPr>
          <w:p w:rsidR="00A658DE" w:rsidRPr="00562C7E" w:rsidRDefault="00A658DE" w:rsidP="00CE7F63">
            <w:pPr>
              <w:tabs>
                <w:tab w:val="left" w:pos="540"/>
              </w:tabs>
              <w:spacing w:after="0" w:line="240" w:lineRule="auto"/>
              <w:contextualSpacing/>
              <w:mirrorIndents/>
              <w:jc w:val="both"/>
              <w:rPr>
                <w:rFonts w:cs="Calibri"/>
                <w:lang w:val="en-GB"/>
              </w:rPr>
            </w:pPr>
            <w:r w:rsidRPr="00562C7E">
              <w:rPr>
                <w:rFonts w:cs="Calibri"/>
                <w:lang w:val="en-GB"/>
              </w:rPr>
              <w:t>A provisionally affiliated institution shall be considered for disaffiliation, if it:</w:t>
            </w:r>
          </w:p>
          <w:p w:rsidR="00A658DE" w:rsidRPr="00562C7E" w:rsidRDefault="00A658DE" w:rsidP="00CE7F63">
            <w:pPr>
              <w:widowControl w:val="0"/>
              <w:numPr>
                <w:ilvl w:val="0"/>
                <w:numId w:val="1"/>
              </w:numPr>
              <w:autoSpaceDE w:val="0"/>
              <w:autoSpaceDN w:val="0"/>
              <w:adjustRightInd w:val="0"/>
              <w:spacing w:after="0" w:line="240" w:lineRule="auto"/>
              <w:ind w:left="605" w:hanging="605"/>
              <w:contextualSpacing/>
              <w:mirrorIndents/>
              <w:jc w:val="both"/>
              <w:rPr>
                <w:rFonts w:cs="Calibri"/>
                <w:lang w:val="en-GB"/>
              </w:rPr>
            </w:pPr>
            <w:r w:rsidRPr="00562C7E">
              <w:rPr>
                <w:rFonts w:cs="Calibri"/>
                <w:lang w:val="en-GB"/>
              </w:rPr>
              <w:t xml:space="preserve">ceases to exist; </w:t>
            </w:r>
          </w:p>
          <w:p w:rsidR="00A658DE" w:rsidRPr="00562C7E" w:rsidRDefault="00A658DE" w:rsidP="00CE7F63">
            <w:pPr>
              <w:widowControl w:val="0"/>
              <w:numPr>
                <w:ilvl w:val="0"/>
                <w:numId w:val="1"/>
              </w:numPr>
              <w:autoSpaceDE w:val="0"/>
              <w:autoSpaceDN w:val="0"/>
              <w:adjustRightInd w:val="0"/>
              <w:spacing w:after="0" w:line="240" w:lineRule="auto"/>
              <w:ind w:left="605" w:hanging="605"/>
              <w:contextualSpacing/>
              <w:mirrorIndents/>
              <w:jc w:val="both"/>
              <w:rPr>
                <w:rFonts w:cs="Calibri"/>
                <w:lang w:val="en-GB"/>
              </w:rPr>
            </w:pPr>
            <w:r w:rsidRPr="00562C7E">
              <w:rPr>
                <w:rFonts w:cs="Calibri"/>
                <w:lang w:val="en-GB"/>
              </w:rPr>
              <w:t>fails to conform to the conditions of affiliation;</w:t>
            </w:r>
          </w:p>
          <w:p w:rsidR="00A658DE" w:rsidRPr="00562C7E" w:rsidRDefault="00A658DE" w:rsidP="00CE7F63">
            <w:pPr>
              <w:widowControl w:val="0"/>
              <w:numPr>
                <w:ilvl w:val="0"/>
                <w:numId w:val="2"/>
              </w:numPr>
              <w:autoSpaceDE w:val="0"/>
              <w:autoSpaceDN w:val="0"/>
              <w:adjustRightInd w:val="0"/>
              <w:spacing w:after="0" w:line="240" w:lineRule="auto"/>
              <w:ind w:left="605" w:hanging="605"/>
              <w:contextualSpacing/>
              <w:mirrorIndents/>
              <w:jc w:val="both"/>
              <w:rPr>
                <w:rFonts w:cs="Calibri"/>
                <w:lang w:val="en-GB"/>
              </w:rPr>
            </w:pPr>
            <w:r w:rsidRPr="00562C7E">
              <w:rPr>
                <w:rFonts w:cs="Calibri"/>
                <w:lang w:val="en-GB"/>
              </w:rPr>
              <w:t>does not ameliorate the deteriorated standard of teaching/learning process;</w:t>
            </w:r>
          </w:p>
          <w:p w:rsidR="00A658DE" w:rsidRPr="00562C7E" w:rsidRDefault="00A658DE" w:rsidP="00CE7F63">
            <w:pPr>
              <w:widowControl w:val="0"/>
              <w:numPr>
                <w:ilvl w:val="0"/>
                <w:numId w:val="3"/>
              </w:numPr>
              <w:autoSpaceDE w:val="0"/>
              <w:autoSpaceDN w:val="0"/>
              <w:adjustRightInd w:val="0"/>
              <w:spacing w:after="0" w:line="240" w:lineRule="auto"/>
              <w:ind w:left="605" w:hanging="605"/>
              <w:contextualSpacing/>
              <w:mirrorIndents/>
              <w:jc w:val="both"/>
              <w:rPr>
                <w:rFonts w:cs="Calibri"/>
                <w:lang w:val="en-GB"/>
              </w:rPr>
            </w:pPr>
            <w:r w:rsidRPr="00562C7E">
              <w:rPr>
                <w:rFonts w:cs="Calibri"/>
                <w:lang w:val="en-GB"/>
              </w:rPr>
              <w:t>fails to remove the defects/observations communicated by the Board, within stipulated period;</w:t>
            </w:r>
          </w:p>
          <w:p w:rsidR="00A658DE" w:rsidRPr="00562C7E" w:rsidRDefault="00A658DE" w:rsidP="00CE7F63">
            <w:pPr>
              <w:widowControl w:val="0"/>
              <w:numPr>
                <w:ilvl w:val="0"/>
                <w:numId w:val="4"/>
              </w:numPr>
              <w:autoSpaceDE w:val="0"/>
              <w:autoSpaceDN w:val="0"/>
              <w:adjustRightInd w:val="0"/>
              <w:spacing w:after="0" w:line="240" w:lineRule="auto"/>
              <w:ind w:left="605" w:hanging="605"/>
              <w:contextualSpacing/>
              <w:mirrorIndents/>
              <w:jc w:val="both"/>
              <w:rPr>
                <w:rFonts w:cs="Calibri"/>
                <w:lang w:val="en-GB"/>
              </w:rPr>
            </w:pPr>
            <w:r w:rsidRPr="00562C7E">
              <w:rPr>
                <w:rFonts w:cs="Calibri"/>
                <w:lang w:val="en-GB"/>
              </w:rPr>
              <w:t>fails to curb the malpractice during the conduct of Board’s examinations (theory/practical);</w:t>
            </w:r>
          </w:p>
          <w:p w:rsidR="00A658DE" w:rsidRPr="00562C7E" w:rsidRDefault="00A658DE" w:rsidP="00CE7F63">
            <w:pPr>
              <w:widowControl w:val="0"/>
              <w:numPr>
                <w:ilvl w:val="0"/>
                <w:numId w:val="5"/>
              </w:numPr>
              <w:autoSpaceDE w:val="0"/>
              <w:autoSpaceDN w:val="0"/>
              <w:adjustRightInd w:val="0"/>
              <w:spacing w:after="0" w:line="240" w:lineRule="auto"/>
              <w:ind w:left="605" w:hanging="605"/>
              <w:contextualSpacing/>
              <w:mirrorIndents/>
              <w:jc w:val="both"/>
              <w:rPr>
                <w:rFonts w:cs="Calibri"/>
                <w:lang w:val="en-GB"/>
              </w:rPr>
            </w:pPr>
            <w:r w:rsidRPr="00562C7E">
              <w:rPr>
                <w:rFonts w:cs="Calibri"/>
                <w:lang w:val="en-GB"/>
              </w:rPr>
              <w:t>does not extend full cooperation to the Board in the proper conduct of examination etc and in organizing any educational programme/activity;</w:t>
            </w:r>
          </w:p>
          <w:p w:rsidR="00A658DE" w:rsidRPr="00562C7E" w:rsidRDefault="00A658DE" w:rsidP="00CE7F63">
            <w:pPr>
              <w:widowControl w:val="0"/>
              <w:numPr>
                <w:ilvl w:val="0"/>
                <w:numId w:val="6"/>
              </w:numPr>
              <w:autoSpaceDE w:val="0"/>
              <w:autoSpaceDN w:val="0"/>
              <w:adjustRightInd w:val="0"/>
              <w:spacing w:after="0" w:line="240" w:lineRule="auto"/>
              <w:ind w:left="605" w:hanging="605"/>
              <w:contextualSpacing/>
              <w:mirrorIndents/>
              <w:jc w:val="both"/>
              <w:rPr>
                <w:rFonts w:cs="Calibri"/>
                <w:lang w:val="en-GB"/>
              </w:rPr>
            </w:pPr>
            <w:r w:rsidRPr="00562C7E">
              <w:rPr>
                <w:rFonts w:cs="Calibri"/>
                <w:lang w:val="en-GB"/>
              </w:rPr>
              <w:t>fails to provide required data, information or statement, pertaining to accommodation/examination hall, furniture, staff and play grounds for conducting examination and sports activities/functions etc;</w:t>
            </w:r>
          </w:p>
          <w:p w:rsidR="00A658DE" w:rsidRPr="00CE7F63" w:rsidRDefault="00A658DE" w:rsidP="00CE7F63">
            <w:pPr>
              <w:widowControl w:val="0"/>
              <w:numPr>
                <w:ilvl w:val="0"/>
                <w:numId w:val="6"/>
              </w:numPr>
              <w:autoSpaceDE w:val="0"/>
              <w:autoSpaceDN w:val="0"/>
              <w:adjustRightInd w:val="0"/>
              <w:spacing w:after="0" w:line="240" w:lineRule="auto"/>
              <w:ind w:left="605" w:hanging="605"/>
              <w:contextualSpacing/>
              <w:mirrorIndents/>
              <w:jc w:val="both"/>
              <w:rPr>
                <w:rFonts w:cs="Calibri"/>
                <w:lang w:val="en-GB"/>
              </w:rPr>
            </w:pPr>
            <w:r w:rsidRPr="00562C7E">
              <w:rPr>
                <w:rFonts w:cs="Calibri"/>
                <w:lang w:val="en-GB"/>
              </w:rPr>
              <w:t>works against the normal norms, conduct or interests of the Board.</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pStyle w:val="ListParagraph"/>
              <w:numPr>
                <w:ilvl w:val="0"/>
                <w:numId w:val="7"/>
              </w:numPr>
              <w:mirrorIndents/>
              <w:rPr>
                <w:rFonts w:ascii="Calibri" w:hAnsi="Calibri" w:cs="Calibri"/>
                <w:b/>
                <w:sz w:val="22"/>
              </w:rPr>
            </w:pP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b/>
              </w:rPr>
            </w:pPr>
            <w:r w:rsidRPr="00562C7E">
              <w:rPr>
                <w:rFonts w:cs="Calibri"/>
                <w:b/>
                <w:lang w:val="en-GB"/>
              </w:rPr>
              <w:t>Are the dues submitted for affiliation refundable?</w:t>
            </w:r>
          </w:p>
        </w:tc>
      </w:tr>
      <w:tr w:rsidR="00A658DE" w:rsidRPr="00562C7E" w:rsidTr="00185A6F">
        <w:trPr>
          <w:jc w:val="center"/>
        </w:trPr>
        <w:tc>
          <w:tcPr>
            <w:tcW w:w="990" w:type="dxa"/>
            <w:tcMar>
              <w:top w:w="115" w:type="dxa"/>
              <w:left w:w="115" w:type="dxa"/>
              <w:bottom w:w="115" w:type="dxa"/>
              <w:right w:w="115" w:type="dxa"/>
            </w:tcMar>
          </w:tcPr>
          <w:p w:rsidR="00A658DE" w:rsidRPr="00562C7E" w:rsidRDefault="00A658DE" w:rsidP="00CE7F63">
            <w:pPr>
              <w:spacing w:after="0" w:line="240" w:lineRule="auto"/>
              <w:contextualSpacing/>
              <w:mirrorIndents/>
              <w:rPr>
                <w:rFonts w:cs="Calibri"/>
              </w:rPr>
            </w:pPr>
            <w:r w:rsidRPr="00562C7E">
              <w:rPr>
                <w:rFonts w:cs="Calibri"/>
                <w:bCs/>
              </w:rPr>
              <w:t>Ans</w:t>
            </w:r>
          </w:p>
        </w:tc>
        <w:tc>
          <w:tcPr>
            <w:tcW w:w="8651" w:type="dxa"/>
            <w:gridSpan w:val="4"/>
            <w:tcMar>
              <w:top w:w="115" w:type="dxa"/>
              <w:left w:w="115" w:type="dxa"/>
              <w:bottom w:w="115" w:type="dxa"/>
              <w:right w:w="115" w:type="dxa"/>
            </w:tcMar>
          </w:tcPr>
          <w:p w:rsidR="00A658DE" w:rsidRPr="00562C7E" w:rsidRDefault="00A658DE" w:rsidP="00CE7F63">
            <w:pPr>
              <w:spacing w:after="0" w:line="240" w:lineRule="auto"/>
              <w:contextualSpacing/>
              <w:mirrorIndents/>
              <w:jc w:val="both"/>
              <w:rPr>
                <w:rFonts w:cs="Calibri"/>
              </w:rPr>
            </w:pPr>
            <w:r w:rsidRPr="00562C7E">
              <w:rPr>
                <w:rFonts w:cs="Calibri"/>
                <w:lang w:val="en-GB"/>
              </w:rPr>
              <w:t>No, except security fee which is refundable if the school / college is disaffiliated.</w:t>
            </w:r>
          </w:p>
        </w:tc>
      </w:tr>
      <w:tr w:rsidR="00FE4BF0"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FE4BF0" w:rsidRPr="00562C7E" w:rsidRDefault="00FE4BF0"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FE4BF0" w:rsidRPr="00562C7E" w:rsidRDefault="00FE4BF0" w:rsidP="00CE7F63">
            <w:pPr>
              <w:spacing w:after="0" w:line="240" w:lineRule="auto"/>
              <w:contextualSpacing/>
              <w:mirrorIndents/>
              <w:jc w:val="both"/>
              <w:rPr>
                <w:rFonts w:cs="Calibri"/>
                <w:b/>
                <w:lang w:val="en-GB"/>
              </w:rPr>
            </w:pPr>
            <w:r w:rsidRPr="00562C7E">
              <w:rPr>
                <w:rFonts w:cs="Calibri"/>
                <w:b/>
                <w:lang w:val="en-GB"/>
              </w:rPr>
              <w:t xml:space="preserve">What are the </w:t>
            </w:r>
            <w:r w:rsidR="00252652" w:rsidRPr="00562C7E">
              <w:rPr>
                <w:rFonts w:cs="Calibri"/>
                <w:b/>
                <w:lang w:val="en-GB"/>
              </w:rPr>
              <w:t>d</w:t>
            </w:r>
            <w:r w:rsidRPr="00562C7E">
              <w:rPr>
                <w:rFonts w:cs="Calibri"/>
                <w:b/>
                <w:lang w:val="en-GB"/>
              </w:rPr>
              <w:t>ocuments which are to be made available before inspection?</w:t>
            </w:r>
          </w:p>
        </w:tc>
      </w:tr>
      <w:tr w:rsidR="00FE4BF0"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FE4BF0" w:rsidRPr="00562C7E" w:rsidRDefault="00FE4BF0"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FE4BF0" w:rsidRPr="00562C7E" w:rsidRDefault="00FE4BF0" w:rsidP="00CE7F63">
            <w:pPr>
              <w:spacing w:after="0" w:line="240" w:lineRule="auto"/>
              <w:contextualSpacing/>
              <w:mirrorIndents/>
              <w:jc w:val="both"/>
              <w:rPr>
                <w:rFonts w:cs="Calibri"/>
                <w:lang w:val="en-GB"/>
              </w:rPr>
            </w:pPr>
            <w:r w:rsidRPr="00562C7E">
              <w:rPr>
                <w:rFonts w:cs="Calibri"/>
                <w:lang w:val="en-GB"/>
              </w:rPr>
              <w:t>All the relevant record particularly, Affiliation File, Personal Files, Attendance Register, Admission Withdrawal Register, Copy of Budget, Building Plan, Stock Register, Register of Chemicals &amp; Lab: Equipment/Apparatus, Accession Register of Library Books and Register of Sports Goods may be made available to the Inspection Team. Moreover, the visit of</w:t>
            </w:r>
            <w:r w:rsidR="00562C7E" w:rsidRPr="00562C7E">
              <w:rPr>
                <w:rFonts w:cs="Calibri"/>
                <w:lang w:val="en-GB"/>
              </w:rPr>
              <w:t xml:space="preserve"> classrooms, </w:t>
            </w:r>
            <w:r w:rsidRPr="00562C7E">
              <w:rPr>
                <w:rFonts w:cs="Calibri"/>
                <w:lang w:val="en-GB"/>
              </w:rPr>
              <w:t xml:space="preserve">Library and </w:t>
            </w:r>
            <w:r w:rsidR="00562C7E" w:rsidRPr="00562C7E">
              <w:rPr>
                <w:rFonts w:cs="Calibri"/>
                <w:lang w:val="en-GB"/>
              </w:rPr>
              <w:t xml:space="preserve">Science </w:t>
            </w:r>
            <w:r w:rsidRPr="00562C7E">
              <w:rPr>
                <w:rFonts w:cs="Calibri"/>
                <w:lang w:val="en-GB"/>
              </w:rPr>
              <w:t>Lab</w:t>
            </w:r>
            <w:r w:rsidR="00562C7E" w:rsidRPr="00562C7E">
              <w:rPr>
                <w:rFonts w:cs="Calibri"/>
                <w:lang w:val="en-GB"/>
              </w:rPr>
              <w:t>(</w:t>
            </w:r>
            <w:r w:rsidRPr="00562C7E">
              <w:rPr>
                <w:rFonts w:cs="Calibri"/>
                <w:lang w:val="en-GB"/>
              </w:rPr>
              <w:t>s</w:t>
            </w:r>
            <w:r w:rsidR="00562C7E" w:rsidRPr="00562C7E">
              <w:rPr>
                <w:rFonts w:cs="Calibri"/>
                <w:lang w:val="en-GB"/>
              </w:rPr>
              <w:t>)</w:t>
            </w:r>
            <w:r w:rsidRPr="00562C7E">
              <w:rPr>
                <w:rFonts w:cs="Calibri"/>
                <w:lang w:val="en-GB"/>
              </w:rPr>
              <w:t xml:space="preserve"> and</w:t>
            </w:r>
            <w:r w:rsidR="00562C7E" w:rsidRPr="00562C7E">
              <w:rPr>
                <w:rFonts w:cs="Calibri"/>
                <w:lang w:val="en-GB"/>
              </w:rPr>
              <w:t xml:space="preserve"> Examination Hall, </w:t>
            </w:r>
            <w:r w:rsidRPr="00562C7E">
              <w:rPr>
                <w:rFonts w:cs="Calibri"/>
                <w:lang w:val="en-GB"/>
              </w:rPr>
              <w:t xml:space="preserve"> the presence of staff members of Institution may be ensured at the time of inspection.  </w:t>
            </w:r>
          </w:p>
        </w:tc>
      </w:tr>
      <w:tr w:rsidR="00FE4BF0"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FE4BF0" w:rsidRPr="00562C7E" w:rsidRDefault="00FE4BF0"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FE4BF0" w:rsidRPr="00562C7E" w:rsidRDefault="004B407C" w:rsidP="00CE7F63">
            <w:pPr>
              <w:spacing w:after="0" w:line="240" w:lineRule="auto"/>
              <w:contextualSpacing/>
              <w:mirrorIndents/>
              <w:jc w:val="both"/>
              <w:rPr>
                <w:rFonts w:cs="Calibri"/>
                <w:b/>
                <w:lang w:val="en-GB"/>
              </w:rPr>
            </w:pPr>
            <w:r w:rsidRPr="00562C7E">
              <w:rPr>
                <w:rFonts w:cs="Calibri"/>
                <w:b/>
                <w:lang w:val="en-GB"/>
              </w:rPr>
              <w:t>What are the rules about building of school and college?</w:t>
            </w:r>
          </w:p>
        </w:tc>
      </w:tr>
      <w:tr w:rsidR="00FE4BF0"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FE4BF0" w:rsidRPr="00562C7E" w:rsidRDefault="00FE4BF0"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6E0955" w:rsidRPr="00562C7E" w:rsidRDefault="006E0955" w:rsidP="00CE7F63">
            <w:pPr>
              <w:spacing w:after="0" w:line="240" w:lineRule="auto"/>
              <w:contextualSpacing/>
              <w:mirrorIndents/>
              <w:jc w:val="both"/>
              <w:rPr>
                <w:rFonts w:cs="Calibri"/>
                <w:lang w:val="en-GB"/>
              </w:rPr>
            </w:pPr>
            <w:r w:rsidRPr="00562C7E">
              <w:rPr>
                <w:rFonts w:cs="Calibri"/>
                <w:lang w:val="en-GB"/>
              </w:rPr>
              <w:t>The building shall have the following accommodation which shall be used exclusively for the purpose of school/college. No institution shall be granted affiliation which is established in a building having a land area less than 4500 sqft.</w:t>
            </w:r>
          </w:p>
          <w:p w:rsidR="006E0955" w:rsidRPr="00CE7F63" w:rsidRDefault="006E0955" w:rsidP="00CE7F63">
            <w:pPr>
              <w:spacing w:after="0" w:line="240" w:lineRule="auto"/>
              <w:contextualSpacing/>
              <w:mirrorIndents/>
              <w:jc w:val="both"/>
              <w:rPr>
                <w:rFonts w:cs="Calibri"/>
                <w:sz w:val="4"/>
                <w:lang w:val="en-GB"/>
              </w:rPr>
            </w:pPr>
          </w:p>
          <w:p w:rsidR="006E0955" w:rsidRPr="00562C7E" w:rsidRDefault="006E0955"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t>Minimum size of class rooms shall not be less than 250 sqft with maximum strength of 25 students. If students in one class room exceed 25 students then they must be shifted in room bigger than 250 sqft or a separate section/class room must be made available.  At least 10 sqft per student must be made available in class room.</w:t>
            </w:r>
          </w:p>
          <w:p w:rsidR="006E0955" w:rsidRPr="00562C7E" w:rsidRDefault="006E0955"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t xml:space="preserve">Separate class rooms for each group offered by institute at SSC &amp; HSSC level are required. </w:t>
            </w:r>
          </w:p>
          <w:p w:rsidR="006E0955" w:rsidRPr="00562C7E" w:rsidRDefault="006E0955"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t xml:space="preserve">Preferably </w:t>
            </w:r>
            <w:r w:rsidR="00252652" w:rsidRPr="00562C7E">
              <w:rPr>
                <w:rFonts w:ascii="Calibri" w:hAnsi="Calibri" w:cs="Calibri"/>
                <w:sz w:val="22"/>
                <w:lang w:val="en-GB"/>
              </w:rPr>
              <w:t>three</w:t>
            </w:r>
            <w:r w:rsidRPr="00562C7E">
              <w:rPr>
                <w:rFonts w:ascii="Calibri" w:hAnsi="Calibri" w:cs="Calibri"/>
                <w:sz w:val="22"/>
                <w:lang w:val="en-GB"/>
              </w:rPr>
              <w:t xml:space="preserve"> separate laboratories for each discipline of Science shall be established at SSC level with minimum area of 300 sqft for each laboratory. However</w:t>
            </w:r>
            <w:r w:rsidR="00252652" w:rsidRPr="00562C7E">
              <w:rPr>
                <w:rFonts w:ascii="Calibri" w:hAnsi="Calibri" w:cs="Calibri"/>
                <w:sz w:val="22"/>
                <w:lang w:val="en-GB"/>
              </w:rPr>
              <w:t>,</w:t>
            </w:r>
            <w:r w:rsidRPr="00562C7E">
              <w:rPr>
                <w:rFonts w:ascii="Calibri" w:hAnsi="Calibri" w:cs="Calibri"/>
                <w:sz w:val="22"/>
                <w:lang w:val="en-GB"/>
              </w:rPr>
              <w:t xml:space="preserve"> one spacious laboratory with minimum area of 400 sqft is also acceptable for all disciplines of Science whereas at HSSC level </w:t>
            </w:r>
            <w:r w:rsidR="00252652" w:rsidRPr="00562C7E">
              <w:rPr>
                <w:rFonts w:ascii="Calibri" w:hAnsi="Calibri" w:cs="Calibri"/>
                <w:sz w:val="22"/>
                <w:lang w:val="en-GB"/>
              </w:rPr>
              <w:t>three</w:t>
            </w:r>
            <w:r w:rsidRPr="00562C7E">
              <w:rPr>
                <w:rFonts w:ascii="Calibri" w:hAnsi="Calibri" w:cs="Calibri"/>
                <w:sz w:val="22"/>
                <w:lang w:val="en-GB"/>
              </w:rPr>
              <w:t xml:space="preserve"> separate laboratories are pre-requisites for affiliation in Science group(s). All laboratories should be well equipped with provision of adequate apparatus for the strength of 25 students at a time, water, gas, exhaust fans, fire extinguishers facilities, etc. Schedule and list of practicals shall be displayed on charts. Labeled models/charts shall also be made available in Science Labs.</w:t>
            </w:r>
          </w:p>
          <w:p w:rsidR="006E0955" w:rsidRPr="00562C7E" w:rsidRDefault="00066761"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t>Computer lab</w:t>
            </w:r>
            <w:r w:rsidR="006E0955" w:rsidRPr="00562C7E">
              <w:rPr>
                <w:rFonts w:ascii="Calibri" w:hAnsi="Calibri" w:cs="Calibri"/>
                <w:sz w:val="22"/>
                <w:lang w:val="en-GB"/>
              </w:rPr>
              <w:t xml:space="preserve"> shall be established in case institute is seeking affiliation in Computer Science subject. It shall have minimum area of 300 sqft and be equipped with up-to-date accessories and at-least 15 latest Personal Computers, Networking, printers and Air Conditioning.</w:t>
            </w:r>
          </w:p>
          <w:p w:rsidR="006E0955" w:rsidRPr="00562C7E" w:rsidRDefault="00562C7E"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rPr>
              <w:t xml:space="preserve">Library may be established in a spacious room not less than 300 Sqft with the provision of at least 3000 books and 03 sets of text books for each class. Moreover, proper titles are required to be displayed on cupboards. Globe, Atlas, Thesaurus, World Map, Pakistan Map and Newspapers etc. are required to be added in Library. </w:t>
            </w:r>
            <w:r w:rsidR="006E0955" w:rsidRPr="00562C7E">
              <w:rPr>
                <w:rFonts w:ascii="Calibri" w:hAnsi="Calibri" w:cs="Calibri"/>
                <w:sz w:val="22"/>
                <w:lang w:val="en-GB"/>
              </w:rPr>
              <w:t xml:space="preserve">All offices i.e. Principal’s office, staff room, visitor room, admin/account office shall have minimum area of 200 sqft. </w:t>
            </w:r>
          </w:p>
          <w:p w:rsidR="006E0955" w:rsidRPr="00562C7E" w:rsidRDefault="006E0955"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t>Separate staff rooms shall be arranged / established for both male and female staff.</w:t>
            </w:r>
          </w:p>
          <w:p w:rsidR="006E0955" w:rsidRPr="00562C7E" w:rsidRDefault="006E0955"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t>Minimum space of 100 sqft shall be allocated for canteen / tuck shop.</w:t>
            </w:r>
          </w:p>
          <w:p w:rsidR="006E0955" w:rsidRPr="00562C7E" w:rsidRDefault="006E0955"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t>Separate blocks for girls and boys wash rooms shall be arranged in case of co-education.</w:t>
            </w:r>
          </w:p>
          <w:p w:rsidR="006E0955" w:rsidRPr="00562C7E" w:rsidRDefault="006E0955"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lastRenderedPageBreak/>
              <w:t>Open area (excluding roof of building) shall be provided for morning assembly &amp; sports activities. Minimum pre-requisite is 20 % of covered area.</w:t>
            </w:r>
          </w:p>
          <w:p w:rsidR="00FE4BF0" w:rsidRPr="00562C7E" w:rsidRDefault="006E0955" w:rsidP="00CE7F63">
            <w:pPr>
              <w:pStyle w:val="ListParagraph"/>
              <w:numPr>
                <w:ilvl w:val="0"/>
                <w:numId w:val="12"/>
              </w:numPr>
              <w:mirrorIndents/>
              <w:jc w:val="both"/>
              <w:rPr>
                <w:rFonts w:ascii="Calibri" w:hAnsi="Calibri" w:cs="Calibri"/>
                <w:sz w:val="22"/>
                <w:lang w:val="en-GB"/>
              </w:rPr>
            </w:pPr>
            <w:r w:rsidRPr="00562C7E">
              <w:rPr>
                <w:rFonts w:ascii="Calibri" w:hAnsi="Calibri" w:cs="Calibri"/>
                <w:sz w:val="22"/>
                <w:lang w:val="en-GB"/>
              </w:rPr>
              <w:t>A designated Examination hall/covered space having minimum area of 3000 sqft shall be made available to qualif</w:t>
            </w:r>
            <w:r w:rsidR="002C6CBE">
              <w:rPr>
                <w:rFonts w:ascii="Calibri" w:hAnsi="Calibri" w:cs="Calibri"/>
                <w:sz w:val="22"/>
                <w:lang w:val="en-GB"/>
              </w:rPr>
              <w:t>y the criteria of affiliation.</w:t>
            </w:r>
            <w:r w:rsidR="009102A1">
              <w:t xml:space="preserve"> </w:t>
            </w:r>
            <w:r w:rsidR="009102A1" w:rsidRPr="009102A1">
              <w:rPr>
                <w:rFonts w:ascii="Calibri" w:hAnsi="Calibri" w:cs="Calibri"/>
                <w:sz w:val="22"/>
              </w:rPr>
              <w:t>CCTV cameras alongwith allied infrastructure in the examination premises/halls are required</w:t>
            </w:r>
            <w:r w:rsidR="002C6CBE" w:rsidRPr="009102A1">
              <w:rPr>
                <w:rFonts w:ascii="Calibri" w:hAnsi="Calibri" w:cs="Calibri"/>
                <w:sz w:val="20"/>
                <w:lang w:val="en-GB"/>
              </w:rPr>
              <w:t xml:space="preserve"> </w:t>
            </w:r>
            <w:r w:rsidRPr="00562C7E">
              <w:rPr>
                <w:rFonts w:ascii="Calibri" w:hAnsi="Calibri" w:cs="Calibri"/>
                <w:sz w:val="22"/>
                <w:lang w:val="en-GB"/>
              </w:rPr>
              <w:t>In case of non-availability of examination hall in the premises</w:t>
            </w:r>
            <w:r w:rsidR="00252652" w:rsidRPr="00562C7E">
              <w:rPr>
                <w:rFonts w:ascii="Calibri" w:hAnsi="Calibri" w:cs="Calibri"/>
                <w:sz w:val="22"/>
                <w:lang w:val="en-GB"/>
              </w:rPr>
              <w:t>,</w:t>
            </w:r>
            <w:r w:rsidRPr="00562C7E">
              <w:rPr>
                <w:rFonts w:ascii="Calibri" w:hAnsi="Calibri" w:cs="Calibri"/>
                <w:sz w:val="22"/>
                <w:lang w:val="en-GB"/>
              </w:rPr>
              <w:t xml:space="preserve"> institute shall be bound to construct examination hall wi</w:t>
            </w:r>
            <w:r w:rsidR="002C6CBE">
              <w:rPr>
                <w:rFonts w:ascii="Calibri" w:hAnsi="Calibri" w:cs="Calibri"/>
                <w:sz w:val="22"/>
                <w:lang w:val="en-GB"/>
              </w:rPr>
              <w:t xml:space="preserve">thin two years of affiliation. </w:t>
            </w:r>
            <w:r w:rsidRPr="00562C7E">
              <w:rPr>
                <w:rFonts w:ascii="Calibri" w:hAnsi="Calibri" w:cs="Calibri"/>
                <w:sz w:val="22"/>
                <w:lang w:val="en-GB"/>
              </w:rPr>
              <w:t>For time gap arrangements institute shall contribute in the expenses incurred for provision of space for examination purpose.  A cluster of institution may be</w:t>
            </w:r>
            <w:r w:rsidR="002C6CBE">
              <w:rPr>
                <w:rFonts w:ascii="Calibri" w:hAnsi="Calibri" w:cs="Calibri"/>
                <w:sz w:val="22"/>
                <w:lang w:val="en-GB"/>
              </w:rPr>
              <w:t xml:space="preserve"> determined for said purpose. </w:t>
            </w:r>
            <w:r w:rsidRPr="00562C7E">
              <w:rPr>
                <w:rFonts w:ascii="Calibri" w:hAnsi="Calibri" w:cs="Calibri"/>
                <w:sz w:val="22"/>
                <w:lang w:val="en-GB"/>
              </w:rPr>
              <w:t>Affidavit in this regard shall be provided by the institution.</w:t>
            </w:r>
          </w:p>
        </w:tc>
      </w:tr>
      <w:tr w:rsidR="004F409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spacing w:after="0" w:line="240" w:lineRule="auto"/>
              <w:contextualSpacing/>
              <w:mirrorIndents/>
              <w:jc w:val="both"/>
              <w:rPr>
                <w:rFonts w:cs="Calibri"/>
                <w:b/>
                <w:lang w:val="en-GB"/>
              </w:rPr>
            </w:pPr>
            <w:r w:rsidRPr="00562C7E">
              <w:rPr>
                <w:rFonts w:cs="Calibri"/>
                <w:b/>
                <w:lang w:val="en-GB"/>
              </w:rPr>
              <w:t>Are private institutions within Capital Territory Islamabad required to get registration from an</w:t>
            </w:r>
            <w:r w:rsidR="00252652" w:rsidRPr="00562C7E">
              <w:rPr>
                <w:rFonts w:cs="Calibri"/>
                <w:b/>
                <w:lang w:val="en-GB"/>
              </w:rPr>
              <w:t>y</w:t>
            </w:r>
            <w:r w:rsidRPr="00562C7E">
              <w:rPr>
                <w:rFonts w:cs="Calibri"/>
                <w:b/>
                <w:lang w:val="en-GB"/>
              </w:rPr>
              <w:t xml:space="preserve"> organization?</w:t>
            </w:r>
          </w:p>
        </w:tc>
      </w:tr>
      <w:tr w:rsidR="004F409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spacing w:after="0" w:line="240" w:lineRule="auto"/>
              <w:contextualSpacing/>
              <w:mirrorIndents/>
              <w:jc w:val="both"/>
              <w:rPr>
                <w:rFonts w:cs="Calibri"/>
                <w:lang w:val="en-GB"/>
              </w:rPr>
            </w:pPr>
            <w:r w:rsidRPr="00562C7E">
              <w:rPr>
                <w:rFonts w:cs="Calibri"/>
                <w:lang w:val="en-GB"/>
              </w:rPr>
              <w:t>Privately managed institution situated in Islamabad Capital Territory shall get itself registered with Private Educational Institutions Regularity Authority (PEIRA).</w:t>
            </w:r>
          </w:p>
        </w:tc>
      </w:tr>
      <w:tr w:rsidR="004F409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84385E" w:rsidP="00CE7F63">
            <w:pPr>
              <w:spacing w:after="0" w:line="240" w:lineRule="auto"/>
              <w:contextualSpacing/>
              <w:mirrorIndents/>
              <w:jc w:val="both"/>
              <w:rPr>
                <w:rFonts w:cs="Calibri"/>
                <w:b/>
                <w:lang w:val="en-GB"/>
              </w:rPr>
            </w:pPr>
            <w:r w:rsidRPr="00562C7E">
              <w:rPr>
                <w:rFonts w:cs="Calibri"/>
                <w:b/>
                <w:lang w:val="en-GB"/>
              </w:rPr>
              <w:t>Are private institutions outside Capital Territory Islamabad required to get registration from an</w:t>
            </w:r>
            <w:r w:rsidR="00252652" w:rsidRPr="00562C7E">
              <w:rPr>
                <w:rFonts w:cs="Calibri"/>
                <w:b/>
                <w:lang w:val="en-GB"/>
              </w:rPr>
              <w:t>y</w:t>
            </w:r>
            <w:r w:rsidRPr="00562C7E">
              <w:rPr>
                <w:rFonts w:cs="Calibri"/>
                <w:b/>
                <w:lang w:val="en-GB"/>
              </w:rPr>
              <w:t xml:space="preserve"> organization?</w:t>
            </w:r>
          </w:p>
        </w:tc>
      </w:tr>
      <w:tr w:rsidR="004F409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84385E" w:rsidP="00CE7F63">
            <w:pPr>
              <w:spacing w:after="0" w:line="240" w:lineRule="auto"/>
              <w:contextualSpacing/>
              <w:mirrorIndents/>
              <w:jc w:val="both"/>
              <w:rPr>
                <w:rFonts w:cs="Calibri"/>
                <w:lang w:val="en-GB"/>
              </w:rPr>
            </w:pPr>
            <w:r w:rsidRPr="00562C7E">
              <w:rPr>
                <w:rFonts w:cs="Calibri"/>
                <w:lang w:val="en-GB"/>
              </w:rPr>
              <w:t>The school, other than the government school, situated outside Islamabad Capital Territory shall work under the management of regularly constituted and duly registered body.</w:t>
            </w:r>
          </w:p>
        </w:tc>
      </w:tr>
      <w:tr w:rsidR="004F409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spacing w:after="0" w:line="240" w:lineRule="auto"/>
              <w:contextualSpacing/>
              <w:mirrorIndents/>
              <w:jc w:val="both"/>
              <w:rPr>
                <w:rFonts w:cs="Calibri"/>
                <w:b/>
                <w:lang w:val="en-GB"/>
              </w:rPr>
            </w:pPr>
            <w:r w:rsidRPr="00562C7E">
              <w:rPr>
                <w:rFonts w:cs="Calibri"/>
                <w:b/>
                <w:lang w:val="en-GB"/>
              </w:rPr>
              <w:t xml:space="preserve">What </w:t>
            </w:r>
            <w:r w:rsidR="00BB317F" w:rsidRPr="00562C7E">
              <w:rPr>
                <w:rFonts w:cs="Calibri"/>
                <w:b/>
                <w:lang w:val="en-GB"/>
              </w:rPr>
              <w:t>should be the basic qualification</w:t>
            </w:r>
            <w:r w:rsidR="00873C55" w:rsidRPr="00562C7E">
              <w:rPr>
                <w:rFonts w:cs="Calibri"/>
                <w:b/>
                <w:lang w:val="en-GB"/>
              </w:rPr>
              <w:t xml:space="preserve"> of principal?</w:t>
            </w:r>
          </w:p>
        </w:tc>
      </w:tr>
      <w:tr w:rsidR="004F409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873C55" w:rsidP="00CE7F63">
            <w:pPr>
              <w:spacing w:after="0" w:line="240" w:lineRule="auto"/>
              <w:contextualSpacing/>
              <w:mirrorIndents/>
              <w:jc w:val="both"/>
              <w:rPr>
                <w:rFonts w:cs="Calibri"/>
                <w:lang w:val="en-GB"/>
              </w:rPr>
            </w:pPr>
            <w:r w:rsidRPr="00562C7E">
              <w:rPr>
                <w:rFonts w:cs="Calibri"/>
                <w:lang w:val="en-GB"/>
              </w:rPr>
              <w:t>At least second class Master</w:t>
            </w:r>
            <w:r w:rsidR="00252652" w:rsidRPr="00562C7E">
              <w:rPr>
                <w:rFonts w:cs="Calibri"/>
                <w:lang w:val="en-GB"/>
              </w:rPr>
              <w:t>’s</w:t>
            </w:r>
            <w:r w:rsidRPr="00562C7E">
              <w:rPr>
                <w:rFonts w:cs="Calibri"/>
                <w:lang w:val="en-GB"/>
              </w:rPr>
              <w:t xml:space="preserve"> Degree or Equivalent with 5 years teaching experience (relaxable in case of developing areas only). However, in Government institutions, the Principal shall be appointed by concerned office(s) as per their prescribed qualification.</w:t>
            </w:r>
          </w:p>
        </w:tc>
      </w:tr>
      <w:tr w:rsidR="004F409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0048DC" w:rsidP="00CE7F63">
            <w:pPr>
              <w:spacing w:after="0" w:line="240" w:lineRule="auto"/>
              <w:contextualSpacing/>
              <w:mirrorIndents/>
              <w:jc w:val="both"/>
              <w:rPr>
                <w:rFonts w:cs="Calibri"/>
                <w:b/>
                <w:lang w:val="en-GB"/>
              </w:rPr>
            </w:pPr>
            <w:r w:rsidRPr="00562C7E">
              <w:rPr>
                <w:rFonts w:cs="Calibri"/>
                <w:b/>
                <w:lang w:val="en-GB"/>
              </w:rPr>
              <w:t xml:space="preserve">What should be the basic qualification of </w:t>
            </w:r>
            <w:r w:rsidR="00D16497">
              <w:rPr>
                <w:rFonts w:cs="Calibri"/>
                <w:b/>
                <w:lang w:val="en-GB"/>
              </w:rPr>
              <w:t>C</w:t>
            </w:r>
            <w:r w:rsidRPr="00562C7E">
              <w:rPr>
                <w:rFonts w:cs="Calibri"/>
                <w:b/>
                <w:lang w:val="en-GB"/>
              </w:rPr>
              <w:t>omputer teacher?</w:t>
            </w:r>
          </w:p>
        </w:tc>
      </w:tr>
      <w:tr w:rsidR="004F409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562C7E" w:rsidRDefault="004F4097"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4F4097" w:rsidRPr="00D16497" w:rsidRDefault="00D16497" w:rsidP="00CE7F63">
            <w:pPr>
              <w:tabs>
                <w:tab w:val="left" w:pos="116"/>
                <w:tab w:val="left" w:pos="540"/>
                <w:tab w:val="left" w:pos="1620"/>
                <w:tab w:val="left" w:pos="2250"/>
                <w:tab w:val="left" w:pos="2700"/>
                <w:tab w:val="left" w:pos="3240"/>
              </w:tabs>
              <w:spacing w:before="100" w:after="0" w:line="240" w:lineRule="auto"/>
              <w:ind w:left="26"/>
              <w:contextualSpacing/>
              <w:mirrorIndents/>
              <w:jc w:val="both"/>
              <w:rPr>
                <w:lang w:val="en-GB"/>
              </w:rPr>
            </w:pPr>
            <w:r>
              <w:rPr>
                <w:lang w:val="en-GB"/>
              </w:rPr>
              <w:t xml:space="preserve">Computer Teacher:  BCS/MCS/BSc/MSc in Computer Science; or BA/BSc/MA/MSc with Post Graduate Diploma in Computer Science from a recognized University/Institution; or </w:t>
            </w:r>
            <w:r>
              <w:t xml:space="preserve">MSc (Mathematics or Physics or Statistics) with Post Graduate Diploma in Computer Science from a recognized University/Institution </w:t>
            </w:r>
            <w:r w:rsidRPr="00562C7E">
              <w:rPr>
                <w:rFonts w:cs="Calibri"/>
                <w:lang w:val="en-GB"/>
              </w:rPr>
              <w:t>may be appointed at SSC/HSSC level and his/her testimonials, appointment letter and joining report may be furnished.</w:t>
            </w:r>
          </w:p>
        </w:tc>
      </w:tr>
      <w:tr w:rsidR="0075160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spacing w:after="0" w:line="240" w:lineRule="auto"/>
              <w:contextualSpacing/>
              <w:mirrorIndents/>
              <w:jc w:val="both"/>
              <w:rPr>
                <w:rFonts w:cs="Calibri"/>
                <w:b/>
                <w:lang w:val="en-GB"/>
              </w:rPr>
            </w:pPr>
            <w:r w:rsidRPr="00562C7E">
              <w:rPr>
                <w:rFonts w:cs="Calibri"/>
                <w:b/>
                <w:lang w:val="en-GB"/>
              </w:rPr>
              <w:t xml:space="preserve">What should be the basic qualification of </w:t>
            </w:r>
            <w:r w:rsidR="00FD4073">
              <w:rPr>
                <w:rFonts w:cs="Calibri"/>
                <w:b/>
                <w:lang w:val="en-GB"/>
              </w:rPr>
              <w:t>PTI/</w:t>
            </w:r>
            <w:r w:rsidRPr="00562C7E">
              <w:rPr>
                <w:rFonts w:cs="Calibri"/>
                <w:b/>
                <w:lang w:val="en-GB"/>
              </w:rPr>
              <w:t>DPE?</w:t>
            </w:r>
          </w:p>
        </w:tc>
      </w:tr>
      <w:tr w:rsidR="0075160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D16497" w:rsidRDefault="00D16497" w:rsidP="00CE7F63">
            <w:pPr>
              <w:tabs>
                <w:tab w:val="left" w:pos="540"/>
                <w:tab w:val="left" w:pos="1080"/>
                <w:tab w:val="left" w:pos="1620"/>
                <w:tab w:val="left" w:pos="2250"/>
                <w:tab w:val="left" w:pos="2700"/>
                <w:tab w:val="left" w:pos="3240"/>
              </w:tabs>
              <w:spacing w:after="0" w:line="240" w:lineRule="auto"/>
              <w:contextualSpacing/>
              <w:mirrorIndents/>
              <w:jc w:val="both"/>
              <w:rPr>
                <w:lang w:val="en-GB"/>
              </w:rPr>
            </w:pPr>
            <w:r>
              <w:rPr>
                <w:lang w:val="en-GB"/>
              </w:rPr>
              <w:t>PTI (Physical Training Instructor): BA with one year Diploma in Physical Education or trained from Army School of Mountain Warfare and Physical Training or other Defence Institutions. shall also be appointed at SSC level</w:t>
            </w:r>
          </w:p>
          <w:p w:rsidR="00D16497" w:rsidRDefault="00D16497" w:rsidP="00CE7F63">
            <w:pPr>
              <w:tabs>
                <w:tab w:val="left" w:pos="1080"/>
                <w:tab w:val="left" w:pos="1620"/>
                <w:tab w:val="left" w:pos="2250"/>
                <w:tab w:val="left" w:pos="2700"/>
                <w:tab w:val="left" w:pos="3240"/>
              </w:tabs>
              <w:spacing w:after="0" w:line="240" w:lineRule="auto"/>
              <w:contextualSpacing/>
              <w:mirrorIndents/>
              <w:jc w:val="both"/>
              <w:rPr>
                <w:lang w:val="en-GB"/>
              </w:rPr>
            </w:pPr>
            <w:r>
              <w:rPr>
                <w:lang w:val="en-GB"/>
              </w:rPr>
              <w:t xml:space="preserve">DPE </w:t>
            </w:r>
            <w:r>
              <w:t xml:space="preserve">- </w:t>
            </w:r>
            <w:r>
              <w:rPr>
                <w:lang w:val="en-GB"/>
              </w:rPr>
              <w:t>Master’s Degree in Physical Education. shall also be recruited at HSSC level.</w:t>
            </w:r>
          </w:p>
          <w:p w:rsidR="00D16497" w:rsidRDefault="00D328A5" w:rsidP="00CE7F63">
            <w:pPr>
              <w:tabs>
                <w:tab w:val="left" w:pos="1080"/>
                <w:tab w:val="left" w:pos="1620"/>
                <w:tab w:val="left" w:pos="2250"/>
                <w:tab w:val="left" w:pos="2700"/>
                <w:tab w:val="left" w:pos="3240"/>
              </w:tabs>
              <w:spacing w:after="0" w:line="240" w:lineRule="auto"/>
              <w:contextualSpacing/>
              <w:mirrorIndents/>
              <w:jc w:val="both"/>
              <w:rPr>
                <w:lang w:val="en-GB"/>
              </w:rPr>
            </w:pPr>
            <w:r>
              <w:rPr>
                <w:lang w:val="en-GB"/>
              </w:rPr>
              <w:t>(</w:t>
            </w:r>
            <w:r w:rsidR="00D16497">
              <w:rPr>
                <w:lang w:val="en-GB"/>
              </w:rPr>
              <w:t>In case of co</w:t>
            </w:r>
            <w:r w:rsidR="00D16497">
              <w:rPr>
                <w:lang w:val="en-GB"/>
              </w:rPr>
              <w:noBreakHyphen/>
              <w:t>educational institution, a female PTI/DPE shall also be appointed at SSC /HSSC level</w:t>
            </w:r>
            <w:r>
              <w:rPr>
                <w:lang w:val="en-GB"/>
              </w:rPr>
              <w:t>)</w:t>
            </w:r>
          </w:p>
          <w:p w:rsidR="00537426" w:rsidRDefault="00537426" w:rsidP="00CE7F63">
            <w:pPr>
              <w:tabs>
                <w:tab w:val="left" w:pos="1080"/>
                <w:tab w:val="left" w:pos="1620"/>
                <w:tab w:val="left" w:pos="2250"/>
                <w:tab w:val="left" w:pos="2700"/>
                <w:tab w:val="left" w:pos="3240"/>
              </w:tabs>
              <w:spacing w:after="0" w:line="240" w:lineRule="auto"/>
              <w:contextualSpacing/>
              <w:mirrorIndents/>
              <w:jc w:val="both"/>
              <w:rPr>
                <w:lang w:val="en-GB"/>
              </w:rPr>
            </w:pPr>
          </w:p>
          <w:p w:rsidR="00537426" w:rsidRPr="00D16497" w:rsidRDefault="00537426" w:rsidP="00CE7F63">
            <w:pPr>
              <w:tabs>
                <w:tab w:val="left" w:pos="1080"/>
                <w:tab w:val="left" w:pos="1620"/>
                <w:tab w:val="left" w:pos="2250"/>
                <w:tab w:val="left" w:pos="2700"/>
                <w:tab w:val="left" w:pos="3240"/>
              </w:tabs>
              <w:spacing w:after="0" w:line="240" w:lineRule="auto"/>
              <w:contextualSpacing/>
              <w:mirrorIndents/>
              <w:jc w:val="both"/>
              <w:rPr>
                <w:lang w:val="en-GB"/>
              </w:rPr>
            </w:pPr>
          </w:p>
        </w:tc>
      </w:tr>
      <w:tr w:rsidR="0075160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spacing w:after="0" w:line="240" w:lineRule="auto"/>
              <w:contextualSpacing/>
              <w:mirrorIndents/>
              <w:jc w:val="both"/>
              <w:rPr>
                <w:rFonts w:cs="Calibri"/>
                <w:b/>
                <w:lang w:val="en-GB"/>
              </w:rPr>
            </w:pPr>
            <w:r w:rsidRPr="00562C7E">
              <w:rPr>
                <w:rFonts w:cs="Calibri"/>
                <w:b/>
                <w:lang w:val="en-GB"/>
              </w:rPr>
              <w:t xml:space="preserve">What should be the basic qualification of </w:t>
            </w:r>
            <w:r w:rsidR="00951C07" w:rsidRPr="00562C7E">
              <w:rPr>
                <w:rFonts w:cs="Calibri"/>
                <w:b/>
                <w:lang w:val="en-GB"/>
              </w:rPr>
              <w:t>Librarian</w:t>
            </w:r>
            <w:r w:rsidRPr="00562C7E">
              <w:rPr>
                <w:rFonts w:cs="Calibri"/>
                <w:b/>
                <w:lang w:val="en-GB"/>
              </w:rPr>
              <w:t>?</w:t>
            </w:r>
          </w:p>
        </w:tc>
      </w:tr>
      <w:tr w:rsidR="0075160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D328A5" w:rsidRDefault="00D328A5" w:rsidP="00CE7F63">
            <w:pPr>
              <w:spacing w:after="0" w:line="240" w:lineRule="auto"/>
              <w:contextualSpacing/>
              <w:mirrorIndents/>
              <w:jc w:val="both"/>
            </w:pPr>
            <w:r>
              <w:t>Librarian: BSc/BA having Certifi</w:t>
            </w:r>
            <w:r w:rsidR="008E4396">
              <w:t>cate in Library Science at SSC l</w:t>
            </w:r>
            <w:r>
              <w:t>evel</w:t>
            </w:r>
          </w:p>
          <w:p w:rsidR="00D328A5" w:rsidRPr="00562C7E" w:rsidRDefault="00D328A5" w:rsidP="00CE7F63">
            <w:pPr>
              <w:spacing w:after="0" w:line="240" w:lineRule="auto"/>
              <w:contextualSpacing/>
              <w:mirrorIndents/>
              <w:jc w:val="both"/>
              <w:rPr>
                <w:rFonts w:cs="Calibri"/>
                <w:lang w:val="en-GB"/>
              </w:rPr>
            </w:pPr>
            <w:r>
              <w:rPr>
                <w:lang w:val="en-GB"/>
              </w:rPr>
              <w:t xml:space="preserve">Librarian </w:t>
            </w:r>
            <w:r>
              <w:t xml:space="preserve">- </w:t>
            </w:r>
            <w:r>
              <w:rPr>
                <w:lang w:val="en-GB"/>
              </w:rPr>
              <w:t xml:space="preserve">Master’s Degree in </w:t>
            </w:r>
            <w:r w:rsidR="008E4396">
              <w:rPr>
                <w:lang w:val="en-GB"/>
              </w:rPr>
              <w:t>Library Science at HSSC l</w:t>
            </w:r>
            <w:r>
              <w:rPr>
                <w:lang w:val="en-GB"/>
              </w:rPr>
              <w:t>evel</w:t>
            </w:r>
          </w:p>
        </w:tc>
      </w:tr>
      <w:tr w:rsidR="0075160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pStyle w:val="ListParagraph"/>
              <w:numPr>
                <w:ilvl w:val="0"/>
                <w:numId w:val="7"/>
              </w:numPr>
              <w:mirrorIndents/>
              <w:rPr>
                <w:rFonts w:ascii="Calibri" w:eastAsia="Calibri" w:hAnsi="Calibri" w:cs="Calibri"/>
                <w:b/>
                <w:bCs/>
                <w:sz w:val="22"/>
                <w:lang w:bidi="ar-SA"/>
              </w:rPr>
            </w:pP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spacing w:after="0" w:line="240" w:lineRule="auto"/>
              <w:contextualSpacing/>
              <w:mirrorIndents/>
              <w:jc w:val="both"/>
              <w:rPr>
                <w:rFonts w:cs="Calibri"/>
                <w:b/>
                <w:lang w:val="en-GB"/>
              </w:rPr>
            </w:pPr>
            <w:r w:rsidRPr="00562C7E">
              <w:rPr>
                <w:rFonts w:cs="Calibri"/>
                <w:b/>
                <w:lang w:val="en-GB"/>
              </w:rPr>
              <w:t>What should be the basic qualification of teacher</w:t>
            </w:r>
            <w:r w:rsidR="00A208CF" w:rsidRPr="00562C7E">
              <w:rPr>
                <w:rFonts w:cs="Calibri"/>
                <w:b/>
                <w:lang w:val="en-GB"/>
              </w:rPr>
              <w:t>s</w:t>
            </w:r>
            <w:r w:rsidRPr="00562C7E">
              <w:rPr>
                <w:rFonts w:cs="Calibri"/>
                <w:b/>
                <w:lang w:val="en-GB"/>
              </w:rPr>
              <w:t>?</w:t>
            </w:r>
          </w:p>
        </w:tc>
      </w:tr>
      <w:tr w:rsidR="00751607" w:rsidRPr="00562C7E" w:rsidTr="00185A6F">
        <w:trPr>
          <w:jc w:val="center"/>
        </w:trPr>
        <w:tc>
          <w:tcPr>
            <w:tcW w:w="990"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751607" w:rsidP="00CE7F63">
            <w:pPr>
              <w:spacing w:after="0" w:line="240" w:lineRule="auto"/>
              <w:contextualSpacing/>
              <w:mirrorIndents/>
              <w:rPr>
                <w:rFonts w:cs="Calibri"/>
                <w:bCs/>
              </w:rPr>
            </w:pPr>
            <w:r w:rsidRPr="00562C7E">
              <w:rPr>
                <w:rFonts w:cs="Calibri"/>
                <w:bCs/>
              </w:rPr>
              <w:t>Ans</w:t>
            </w:r>
          </w:p>
        </w:tc>
        <w:tc>
          <w:tcPr>
            <w:tcW w:w="8651" w:type="dxa"/>
            <w:gridSpan w:val="4"/>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rsidR="00751607" w:rsidRPr="00562C7E" w:rsidRDefault="00A208CF" w:rsidP="00CE7F63">
            <w:pPr>
              <w:spacing w:after="0" w:line="240" w:lineRule="auto"/>
              <w:contextualSpacing/>
              <w:mirrorIndents/>
              <w:jc w:val="both"/>
              <w:rPr>
                <w:rFonts w:cs="Calibri"/>
                <w:lang w:val="en-GB"/>
              </w:rPr>
            </w:pPr>
            <w:r w:rsidRPr="00562C7E">
              <w:rPr>
                <w:rFonts w:cs="Calibri"/>
                <w:lang w:val="en-GB"/>
              </w:rPr>
              <w:t>T</w:t>
            </w:r>
            <w:r w:rsidR="00751607" w:rsidRPr="00562C7E">
              <w:rPr>
                <w:rFonts w:cs="Calibri"/>
                <w:lang w:val="en-GB"/>
              </w:rPr>
              <w:t>eacher</w:t>
            </w:r>
            <w:r w:rsidRPr="00562C7E">
              <w:rPr>
                <w:rFonts w:cs="Calibri"/>
                <w:lang w:val="en-GB"/>
              </w:rPr>
              <w:t>s</w:t>
            </w:r>
            <w:r w:rsidR="00751607" w:rsidRPr="00562C7E">
              <w:rPr>
                <w:rFonts w:cs="Calibri"/>
                <w:lang w:val="en-GB"/>
              </w:rPr>
              <w:t xml:space="preserve">, having </w:t>
            </w:r>
            <w:r w:rsidR="003E243C" w:rsidRPr="00562C7E">
              <w:rPr>
                <w:rFonts w:cs="Calibri"/>
                <w:lang w:val="en-GB"/>
              </w:rPr>
              <w:t xml:space="preserve">BEd/MEd/MA(Edu) and also having studied the subject at FA/BA/BSc level shall be </w:t>
            </w:r>
            <w:r w:rsidR="00751607" w:rsidRPr="00562C7E">
              <w:rPr>
                <w:rFonts w:cs="Calibri"/>
                <w:lang w:val="en-GB"/>
              </w:rPr>
              <w:t>appointed at SSC level</w:t>
            </w:r>
            <w:r w:rsidR="003E243C" w:rsidRPr="00562C7E">
              <w:rPr>
                <w:rFonts w:cs="Calibri"/>
                <w:lang w:val="en-GB"/>
              </w:rPr>
              <w:t>.</w:t>
            </w:r>
          </w:p>
          <w:p w:rsidR="00FD4073" w:rsidRPr="00562C7E" w:rsidRDefault="00FD4073" w:rsidP="00CE7F63">
            <w:pPr>
              <w:spacing w:after="0" w:line="240" w:lineRule="auto"/>
              <w:contextualSpacing/>
              <w:mirrorIndents/>
              <w:jc w:val="both"/>
              <w:rPr>
                <w:rFonts w:cs="Calibri"/>
              </w:rPr>
            </w:pPr>
            <w:r>
              <w:t>Teacher/Lecturer - Second Class Master’s Degree or its equivalent qualification in the relevant subject from a recognized university at HSSC level</w:t>
            </w:r>
          </w:p>
          <w:p w:rsidR="003E243C" w:rsidRPr="00562C7E" w:rsidRDefault="003E243C" w:rsidP="00CE7F63">
            <w:pPr>
              <w:spacing w:after="0" w:line="240" w:lineRule="auto"/>
              <w:contextualSpacing/>
              <w:mirrorIndents/>
              <w:jc w:val="both"/>
              <w:rPr>
                <w:rFonts w:cs="Calibri"/>
                <w:lang w:val="en-GB"/>
              </w:rPr>
            </w:pPr>
          </w:p>
        </w:tc>
      </w:tr>
    </w:tbl>
    <w:p w:rsidR="0009062A" w:rsidRPr="00562C7E" w:rsidRDefault="0009062A" w:rsidP="00CE7F63">
      <w:pPr>
        <w:spacing w:after="0" w:line="240" w:lineRule="auto"/>
        <w:contextualSpacing/>
        <w:mirrorIndents/>
        <w:rPr>
          <w:rFonts w:cs="Calibri"/>
        </w:rPr>
      </w:pPr>
    </w:p>
    <w:sectPr w:rsidR="0009062A" w:rsidRPr="00562C7E" w:rsidSect="000845BB">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A30"/>
    <w:multiLevelType w:val="hybridMultilevel"/>
    <w:tmpl w:val="327074C0"/>
    <w:lvl w:ilvl="0" w:tplc="9CF4C90A">
      <w:start w:val="1"/>
      <w:numFmt w:val="decimal"/>
      <w:lvlText w:val="Q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D636A"/>
    <w:multiLevelType w:val="hybridMultilevel"/>
    <w:tmpl w:val="4C2C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42E84"/>
    <w:multiLevelType w:val="hybridMultilevel"/>
    <w:tmpl w:val="50E00DA2"/>
    <w:lvl w:ilvl="0" w:tplc="47B435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E119C"/>
    <w:multiLevelType w:val="singleLevel"/>
    <w:tmpl w:val="88000C40"/>
    <w:lvl w:ilvl="0">
      <w:start w:val="1"/>
      <w:numFmt w:val="decimal"/>
      <w:lvlText w:val="(%1)"/>
      <w:legacy w:legacy="1" w:legacySpace="0" w:legacyIndent="360"/>
      <w:lvlJc w:val="left"/>
      <w:rPr>
        <w:rFonts w:ascii="Times New Roman" w:hAnsi="Times New Roman" w:cs="Times New Roman" w:hint="default"/>
      </w:rPr>
    </w:lvl>
  </w:abstractNum>
  <w:abstractNum w:abstractNumId="4">
    <w:nsid w:val="680969D9"/>
    <w:multiLevelType w:val="hybridMultilevel"/>
    <w:tmpl w:val="FD6261EC"/>
    <w:lvl w:ilvl="0" w:tplc="47B435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33699"/>
    <w:multiLevelType w:val="hybridMultilevel"/>
    <w:tmpl w:val="A5A8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97EE0"/>
    <w:multiLevelType w:val="hybridMultilevel"/>
    <w:tmpl w:val="681C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1479B"/>
    <w:multiLevelType w:val="singleLevel"/>
    <w:tmpl w:val="88000C4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7"/>
    <w:lvlOverride w:ilvl="0">
      <w:startOverride w:val="1"/>
    </w:lvlOverride>
  </w:num>
  <w:num w:numId="2">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7"/>
    <w:lvlOverride w:ilvl="0">
      <w:lvl w:ilvl="0">
        <w:start w:val="1"/>
        <w:numFmt w:val="decimal"/>
        <w:lvlText w:val="(%1)"/>
        <w:legacy w:legacy="1" w:legacySpace="0" w:legacyIndent="360"/>
        <w:lvlJc w:val="left"/>
        <w:pPr>
          <w:ind w:left="180" w:firstLine="0"/>
        </w:pPr>
        <w:rPr>
          <w:rFonts w:ascii="Times New Roman" w:hAnsi="Times New Roman" w:cs="Times New Roman" w:hint="default"/>
        </w:rPr>
      </w:lvl>
    </w:lvlOverride>
  </w:num>
  <w:num w:numId="7">
    <w:abstractNumId w:val="0"/>
  </w:num>
  <w:num w:numId="8">
    <w:abstractNumId w:val="5"/>
  </w:num>
  <w:num w:numId="9">
    <w:abstractNumId w:val="6"/>
  </w:num>
  <w:num w:numId="10">
    <w:abstractNumId w:val="4"/>
  </w:num>
  <w:num w:numId="11">
    <w:abstractNumId w:val="2"/>
  </w:num>
  <w:num w:numId="12">
    <w:abstractNumId w:val="1"/>
  </w:num>
  <w:num w:numId="13">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658DE"/>
    <w:rsid w:val="000048DC"/>
    <w:rsid w:val="00066761"/>
    <w:rsid w:val="000845BB"/>
    <w:rsid w:val="0009062A"/>
    <w:rsid w:val="00183BFE"/>
    <w:rsid w:val="00185A6F"/>
    <w:rsid w:val="001C417C"/>
    <w:rsid w:val="001C7BA1"/>
    <w:rsid w:val="002129D3"/>
    <w:rsid w:val="00224B08"/>
    <w:rsid w:val="00244668"/>
    <w:rsid w:val="00246A4B"/>
    <w:rsid w:val="00252652"/>
    <w:rsid w:val="00254429"/>
    <w:rsid w:val="002735D4"/>
    <w:rsid w:val="002A4F02"/>
    <w:rsid w:val="002C6CBE"/>
    <w:rsid w:val="002D1CB1"/>
    <w:rsid w:val="002E3571"/>
    <w:rsid w:val="003302D2"/>
    <w:rsid w:val="00353150"/>
    <w:rsid w:val="0036268D"/>
    <w:rsid w:val="003E243C"/>
    <w:rsid w:val="00416E13"/>
    <w:rsid w:val="00417FCF"/>
    <w:rsid w:val="00420928"/>
    <w:rsid w:val="004471E2"/>
    <w:rsid w:val="004B407C"/>
    <w:rsid w:val="004C7E39"/>
    <w:rsid w:val="004E5624"/>
    <w:rsid w:val="004F4097"/>
    <w:rsid w:val="00526EFA"/>
    <w:rsid w:val="00537426"/>
    <w:rsid w:val="00546090"/>
    <w:rsid w:val="00562C7E"/>
    <w:rsid w:val="00566ACC"/>
    <w:rsid w:val="005B5CED"/>
    <w:rsid w:val="005C18E1"/>
    <w:rsid w:val="005E6EF0"/>
    <w:rsid w:val="005F15D0"/>
    <w:rsid w:val="005F6859"/>
    <w:rsid w:val="006037CA"/>
    <w:rsid w:val="006C79D2"/>
    <w:rsid w:val="006E0955"/>
    <w:rsid w:val="00740C73"/>
    <w:rsid w:val="0074355C"/>
    <w:rsid w:val="00751607"/>
    <w:rsid w:val="007534CD"/>
    <w:rsid w:val="00780674"/>
    <w:rsid w:val="00780803"/>
    <w:rsid w:val="007E5849"/>
    <w:rsid w:val="0084385E"/>
    <w:rsid w:val="00846A2F"/>
    <w:rsid w:val="00873C55"/>
    <w:rsid w:val="008C75DE"/>
    <w:rsid w:val="008E4396"/>
    <w:rsid w:val="009102A1"/>
    <w:rsid w:val="009315D4"/>
    <w:rsid w:val="009369A1"/>
    <w:rsid w:val="00951C07"/>
    <w:rsid w:val="00965038"/>
    <w:rsid w:val="009C3954"/>
    <w:rsid w:val="009C4A67"/>
    <w:rsid w:val="009E3865"/>
    <w:rsid w:val="00A208CF"/>
    <w:rsid w:val="00A33EBE"/>
    <w:rsid w:val="00A610BA"/>
    <w:rsid w:val="00A658DE"/>
    <w:rsid w:val="00AA7981"/>
    <w:rsid w:val="00AB249B"/>
    <w:rsid w:val="00B94B60"/>
    <w:rsid w:val="00BB317F"/>
    <w:rsid w:val="00BC03A0"/>
    <w:rsid w:val="00C03D67"/>
    <w:rsid w:val="00C21311"/>
    <w:rsid w:val="00C52EA4"/>
    <w:rsid w:val="00C87100"/>
    <w:rsid w:val="00CB18A5"/>
    <w:rsid w:val="00CE7F63"/>
    <w:rsid w:val="00D16497"/>
    <w:rsid w:val="00D328A5"/>
    <w:rsid w:val="00DB273B"/>
    <w:rsid w:val="00DE4119"/>
    <w:rsid w:val="00E2006A"/>
    <w:rsid w:val="00E326B9"/>
    <w:rsid w:val="00E8640D"/>
    <w:rsid w:val="00EB6A5F"/>
    <w:rsid w:val="00EB78B6"/>
    <w:rsid w:val="00F849C5"/>
    <w:rsid w:val="00FB31D3"/>
    <w:rsid w:val="00FD1B49"/>
    <w:rsid w:val="00FD4073"/>
    <w:rsid w:val="00FE33BF"/>
    <w:rsid w:val="00FE4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D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DE"/>
    <w:pPr>
      <w:spacing w:after="0" w:line="240" w:lineRule="auto"/>
      <w:ind w:left="720"/>
      <w:contextualSpacing/>
    </w:pPr>
    <w:rPr>
      <w:rFonts w:ascii="Times New Roman" w:eastAsia="Times New Roman" w:hAnsi="Times New Roman" w:cs="Times New Roman"/>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D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DE"/>
    <w:pPr>
      <w:spacing w:after="0" w:line="240" w:lineRule="auto"/>
      <w:ind w:left="720"/>
      <w:contextualSpacing/>
    </w:pPr>
    <w:rPr>
      <w:rFonts w:ascii="Times New Roman" w:eastAsia="Times New Roman" w:hAnsi="Times New Roman" w:cs="Times New Roman"/>
      <w:sz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AD4E-C663-4E8D-9F5E-CCF0E1D3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Anjum</dc:creator>
  <cp:lastModifiedBy>Affiliation</cp:lastModifiedBy>
  <cp:revision>26</cp:revision>
  <cp:lastPrinted>2019-10-28T05:12:00Z</cp:lastPrinted>
  <dcterms:created xsi:type="dcterms:W3CDTF">2019-09-20T06:13:00Z</dcterms:created>
  <dcterms:modified xsi:type="dcterms:W3CDTF">2019-10-28T05:14:00Z</dcterms:modified>
</cp:coreProperties>
</file>